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Arial" w:hAnsi="Arial" w:cs="Arial" w:eastAsia="Arial"/>
          <w:b/>
          <w:color w:val="1F4E79"/>
          <w:sz w:val="38"/>
        </w:rPr>
        <w:t>Lecture 12 — App &amp; Plot Guide</w:t>
      </w:r>
    </w:p>
    <w:p>
      <w:pPr>
        <w:spacing w:after="120" w:before="0"/>
      </w:pPr>
      <w:r>
        <w:rPr>
          <w:rFonts w:ascii="Arial" w:hAnsi="Arial" w:cs="Arial" w:eastAsia="Arial"/>
          <w:b/>
          <w:color w:val="0E6E63"/>
          <w:sz w:val="24"/>
        </w:rPr>
        <w:t>Using the pointer explorer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Live app tasks</w:t>
      </w:r>
    </w:p>
    <w:p>
      <w:pPr>
        <w:spacing w:after="60"/>
        <w:ind w:left="403"/>
      </w:pPr>
      <w:r>
        <w:rPr>
          <w:rFonts w:ascii="Arial" w:hAnsi="Arial" w:cs="Arial" w:eastAsia="Arial"/>
          <w:sz w:val="21"/>
        </w:rPr>
        <w:t xml:space="preserve">•  </w:t>
      </w:r>
      <w:r>
        <w:rPr>
          <w:rFonts w:ascii="Arial" w:hAnsi="Arial" w:cs="Arial" w:eastAsia="Arial"/>
          <w:b w:val="0"/>
          <w:sz w:val="21"/>
        </w:rPr>
        <w:t>Resample members with replacement.</w:t>
      </w:r>
    </w:p>
    <w:p>
      <w:pPr>
        <w:spacing w:after="60"/>
        <w:ind w:left="403"/>
      </w:pPr>
      <w:r>
        <w:rPr>
          <w:rFonts w:ascii="Arial" w:hAnsi="Arial" w:cs="Arial" w:eastAsia="Arial"/>
          <w:sz w:val="21"/>
        </w:rPr>
        <w:t xml:space="preserve">•  </w:t>
      </w:r>
      <w:r>
        <w:rPr>
          <w:rFonts w:ascii="Arial" w:hAnsi="Arial" w:cs="Arial" w:eastAsia="Arial"/>
          <w:b w:val="0"/>
          <w:sz w:val="21"/>
        </w:rPr>
        <w:t>Recompute the statistic.</w:t>
      </w:r>
    </w:p>
    <w:p>
      <w:pPr>
        <w:spacing w:after="60"/>
        <w:ind w:left="403"/>
      </w:pPr>
      <w:r>
        <w:rPr>
          <w:rFonts w:ascii="Arial" w:hAnsi="Arial" w:cs="Arial" w:eastAsia="Arial"/>
          <w:sz w:val="21"/>
        </w:rPr>
        <w:t xml:space="preserve">•  </w:t>
      </w:r>
      <w:r>
        <w:rPr>
          <w:rFonts w:ascii="Arial" w:hAnsi="Arial" w:cs="Arial" w:eastAsia="Arial"/>
          <w:b w:val="0"/>
          <w:sz w:val="21"/>
        </w:rPr>
        <w:t>Read the 95% interval.</w:t>
      </w:r>
    </w:p>
    <w:p>
      <w:pPr>
        <w:spacing w:after="60"/>
        <w:ind w:left="403"/>
      </w:pPr>
      <w:r>
        <w:rPr>
          <w:rFonts w:ascii="Arial" w:hAnsi="Arial" w:cs="Arial" w:eastAsia="Arial"/>
          <w:sz w:val="21"/>
        </w:rPr>
        <w:t xml:space="preserve">•  </w:t>
      </w:r>
      <w:r>
        <w:rPr>
          <w:rFonts w:ascii="Arial" w:hAnsi="Arial" w:cs="Arial" w:eastAsia="Arial"/>
          <w:b w:val="0"/>
          <w:sz w:val="21"/>
        </w:rPr>
        <w:t>Compare to the null.</w:t>
      </w:r>
    </w:p>
    <w:p>
      <w:pPr>
        <w:spacing w:after="80" w:before="120"/>
      </w:pPr>
      <w:r>
        <w:rPr>
          <w:rFonts w:ascii="Arial" w:hAnsi="Arial" w:cs="Arial" w:eastAsia="Arial"/>
          <w:b/>
          <w:color w:val="1F4E79"/>
          <w:sz w:val="22"/>
        </w:rPr>
        <w:t xml:space="preserve">Tip: </w:t>
      </w:r>
      <w:r>
        <w:rPr>
          <w:rFonts w:ascii="Arial" w:hAnsi="Arial" w:cs="Arial" w:eastAsia="Arial"/>
          <w:b w:val="0"/>
          <w:color w:val="1F4E79"/>
          <w:sz w:val="22"/>
        </w:rPr>
        <w:t>examples illustrate; always validate against the label-permutation null and read results back to the actual sūras.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 xml:space="preserve">Disjoint Letters · L12 · App &amp; Plot Guide · page </w:t>
    </w:r>
    <w: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rial" w:hAnsi="Arial" w:cs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