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Disjoint Letters — Lecture 14: What It Is NOT — No Frequency Code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17-lecture course · root anchor · label-permutation discipline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dissect the frequency false positive: spectacular within-chapter, zero under the cross-chapter baseline (0/29).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framing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lecture's question and the program context (content failed; test organization). Anchor on the root; all figures from Book6.xlsx.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0:25–1:00  The core content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Develop the main result with the actual sūras and the relevant charts. Worked anchor where apt: the Ḥawāmīm (حمٓ 40–46, revealed 60–66).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1:10–1:55  Validation &amp; negatives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the right null, beat the baseline, and report predicted negatives as carefully as positives. Demo the app live.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✓/✗/~, the discussion questions, and the takeaway. State new-vs-known honestly.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from Book6.xlsx (6,236 āyāt; 29 muqaṭṭaʿāt sūras); label-permutation null, 50,000 permutations,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L14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