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8"/>
        </w:rPr>
        <w:t>Lecture 16 — App &amp; Plot Guide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Using the pointer explorer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Live app tasks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Build the same-tag network.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Measure modularity.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Locate المص and المر bridges.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Sketch added edge types.</w:t>
      </w:r>
    </w:p>
    <w:p>
      <w:pPr>
        <w:spacing w:after="80" w:before="120"/>
      </w:pPr>
      <w:r>
        <w:rPr>
          <w:rFonts w:ascii="Arial" w:hAnsi="Arial" w:cs="Arial" w:eastAsia="Arial"/>
          <w:b/>
          <w:color w:val="1F4E79"/>
          <w:sz w:val="22"/>
        </w:rPr>
        <w:t xml:space="preserve">Tip: </w:t>
      </w:r>
      <w:r>
        <w:rPr>
          <w:rFonts w:ascii="Arial" w:hAnsi="Arial" w:cs="Arial" w:eastAsia="Arial"/>
          <w:b w:val="0"/>
          <w:color w:val="1F4E79"/>
          <w:sz w:val="22"/>
        </w:rPr>
        <w:t>examples illustrate; always validate against the label-permutation null and read results back to the actual sūras.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Disjoint Letters · L16 · App &amp; Plot Guide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