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17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Tags that group sūras by position/time, flag length, no content.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muṣḥaf + nuzūl contiguity, long flag, family integrity.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No theme (0.27), no per-tag length (0.29), no frequency code (0/29).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Latent structure is relational.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No external Arabic baseline.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External corpus; boundary variants; graph view.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L17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