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40"/>
        </w:rPr>
        <w:t>Lecture 2 — App &amp; Plot Guide</w:t>
      </w:r>
    </w:p>
    <w:p>
      <w:pPr>
        <w:spacing w:after="120" w:before="0"/>
      </w:pPr>
      <w:r>
        <w:rPr>
          <w:rFonts w:ascii="Arial" w:hAnsi="Arial" w:cs="Arial" w:eastAsia="Arial"/>
          <w:b/>
          <w:color w:val="0E6E63"/>
          <w:sz w:val="24"/>
        </w:rPr>
        <w:t>Using the app to run the method (root anchor)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Live app tasks</w:t>
      </w:r>
    </w:p>
    <w:p>
      <w:pPr>
        <w:spacing w:after="60"/>
        <w:ind w:left="403"/>
      </w:pPr>
      <w:r>
        <w:rPr>
          <w:rFonts w:ascii="Arial" w:hAnsi="Arial" w:cs="Arial" w:eastAsia="Arial"/>
          <w:sz w:val="21"/>
        </w:rPr>
        <w:t xml:space="preserve">•  </w:t>
      </w:r>
      <w:r>
        <w:rPr>
          <w:rFonts w:ascii="Arial" w:hAnsi="Arial" w:cs="Arial" w:eastAsia="Arial"/>
          <w:b w:val="0"/>
          <w:sz w:val="21"/>
        </w:rPr>
        <w:t>Enter 112:1 on the ROOT channel → [1722, 2848, 153] (slides 1–2).</w:t>
      </w:r>
    </w:p>
    <w:p>
      <w:pPr>
        <w:spacing w:after="60"/>
        <w:ind w:left="403"/>
      </w:pPr>
      <w:r>
        <w:rPr>
          <w:rFonts w:ascii="Arial" w:hAnsi="Arial" w:cs="Arial" w:eastAsia="Arial"/>
          <w:sz w:val="21"/>
        </w:rPr>
        <w:t xml:space="preserve">•  </w:t>
      </w:r>
      <w:r>
        <w:rPr>
          <w:rFonts w:ascii="Arial" w:hAnsi="Arial" w:cs="Arial" w:eastAsia="Arial"/>
          <w:b w:val="0"/>
          <w:sz w:val="21"/>
        </w:rPr>
        <w:t>Compare 70:8 vs 37:153 on surface (r≈1.0) then roots (artifact gone) (slide 3).</w:t>
      </w:r>
    </w:p>
    <w:p>
      <w:pPr>
        <w:spacing w:after="60"/>
        <w:ind w:left="403"/>
      </w:pPr>
      <w:r>
        <w:rPr>
          <w:rFonts w:ascii="Arial" w:hAnsi="Arial" w:cs="Arial" w:eastAsia="Arial"/>
          <w:sz w:val="21"/>
        </w:rPr>
        <w:t xml:space="preserve">•  </w:t>
      </w:r>
      <w:r>
        <w:rPr>
          <w:rFonts w:ascii="Arial" w:hAnsi="Arial" w:cs="Arial" w:eastAsia="Arial"/>
          <w:b w:val="0"/>
          <w:sz w:val="21"/>
        </w:rPr>
        <w:t>Run the similarity null; slide draws 10³→10⁵; watch the p sharpen (slides 4–6).</w:t>
      </w:r>
    </w:p>
    <w:p>
      <w:pPr>
        <w:spacing w:after="60"/>
        <w:ind w:left="403"/>
      </w:pPr>
      <w:r>
        <w:rPr>
          <w:rFonts w:ascii="Arial" w:hAnsi="Arial" w:cs="Arial" w:eastAsia="Arial"/>
          <w:sz w:val="21"/>
        </w:rPr>
        <w:t xml:space="preserve">•  </w:t>
      </w:r>
      <w:r>
        <w:rPr>
          <w:rFonts w:ascii="Arial" w:hAnsi="Arial" w:cs="Arial" w:eastAsia="Arial"/>
          <w:b w:val="0"/>
          <w:sz w:val="21"/>
        </w:rPr>
        <w:t>Toggle the natural-language baseline; Zipf/share match but the refrain rate diverges (slides 7–8).</w:t>
      </w:r>
    </w:p>
    <w:p>
      <w:pPr>
        <w:spacing w:after="60"/>
        <w:ind w:left="403"/>
      </w:pPr>
      <w:r>
        <w:rPr>
          <w:rFonts w:ascii="Arial" w:hAnsi="Arial" w:cs="Arial" w:eastAsia="Arial"/>
          <w:sz w:val="21"/>
        </w:rPr>
        <w:t xml:space="preserve">•  </w:t>
      </w:r>
      <w:r>
        <w:rPr>
          <w:rFonts w:ascii="Arial" w:hAnsi="Arial" w:cs="Arial" w:eastAsia="Arial"/>
          <w:b w:val="0"/>
          <w:sz w:val="21"/>
        </w:rPr>
        <w:t>Add random channels + FDR; sweep length for autocorr stability (slides 9, 13).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Screenshot capture list</w:t>
      </w:r>
    </w:p>
    <w:p>
      <w:pPr>
        <w:spacing w:after="60"/>
        <w:ind w:left="403"/>
      </w:pPr>
      <w:r>
        <w:rPr>
          <w:rFonts w:ascii="Arial" w:hAnsi="Arial" w:cs="Arial" w:eastAsia="Arial"/>
          <w:sz w:val="21"/>
        </w:rPr>
        <w:t xml:space="preserve">•  </w:t>
      </w:r>
      <w:r>
        <w:rPr>
          <w:rFonts w:ascii="Arial" w:hAnsi="Arial" w:cs="Arial" w:eastAsia="Arial"/>
          <w:b w:val="0"/>
          <w:sz w:val="21"/>
        </w:rPr>
        <w:t>sshot-1: 112:1 root vector.</w:t>
      </w:r>
    </w:p>
    <w:p>
      <w:pPr>
        <w:spacing w:after="60"/>
        <w:ind w:left="403"/>
      </w:pPr>
      <w:r>
        <w:rPr>
          <w:rFonts w:ascii="Arial" w:hAnsi="Arial" w:cs="Arial" w:eastAsia="Arial"/>
          <w:sz w:val="21"/>
        </w:rPr>
        <w:t xml:space="preserve">•  </w:t>
      </w:r>
      <w:r>
        <w:rPr>
          <w:rFonts w:ascii="Arial" w:hAnsi="Arial" w:cs="Arial" w:eastAsia="Arial"/>
          <w:b w:val="0"/>
          <w:sz w:val="21"/>
        </w:rPr>
        <w:t>sshot-2: surface r=1.0 vs root (the ال artifact).</w:t>
      </w:r>
    </w:p>
    <w:p>
      <w:pPr>
        <w:spacing w:after="60"/>
        <w:ind w:left="403"/>
      </w:pPr>
      <w:r>
        <w:rPr>
          <w:rFonts w:ascii="Arial" w:hAnsi="Arial" w:cs="Arial" w:eastAsia="Arial"/>
          <w:sz w:val="21"/>
        </w:rPr>
        <w:t xml:space="preserve">•  </w:t>
      </w:r>
      <w:r>
        <w:rPr>
          <w:rFonts w:ascii="Arial" w:hAnsi="Arial" w:cs="Arial" w:eastAsia="Arial"/>
          <w:b w:val="0"/>
          <w:sz w:val="21"/>
        </w:rPr>
        <w:t>sshot-3: root null + refrain in the tail.</w:t>
      </w:r>
    </w:p>
    <w:p>
      <w:pPr>
        <w:spacing w:after="60"/>
        <w:ind w:left="403"/>
      </w:pPr>
      <w:r>
        <w:rPr>
          <w:rFonts w:ascii="Arial" w:hAnsi="Arial" w:cs="Arial" w:eastAsia="Arial"/>
          <w:sz w:val="21"/>
        </w:rPr>
        <w:t xml:space="preserve">•  </w:t>
      </w:r>
      <w:r>
        <w:rPr>
          <w:rFonts w:ascii="Arial" w:hAnsi="Arial" w:cs="Arial" w:eastAsia="Arial"/>
          <w:b w:val="0"/>
          <w:sz w:val="21"/>
        </w:rPr>
        <w:t>sshot-4: Qur’an vs baseline (generic vs specific).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Plot ↔ slide map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Root vectors ↔ 2 · surface artifact ↔ 3 · root null + contrast ↔ 6 · baseline ↔ 7 · refrain table ↔ 8 · multiple comparisons ↔ 9 · scale curve ↔ 13 · pipeline ↔ 14 · case study ↔ 15.</w:t>
      </w:r>
    </w:p>
    <w:p>
      <w:pPr>
        <w:spacing w:after="80" w:before="120"/>
      </w:pPr>
      <w:r>
        <w:rPr>
          <w:rFonts w:ascii="Arial" w:hAnsi="Arial" w:cs="Arial" w:eastAsia="Arial"/>
          <w:b/>
          <w:color w:val="1F4E79"/>
          <w:sz w:val="22"/>
        </w:rPr>
        <w:t xml:space="preserve">Tip: </w:t>
      </w:r>
      <w:r>
        <w:rPr>
          <w:rFonts w:ascii="Arial" w:hAnsi="Arial" w:cs="Arial" w:eastAsia="Arial"/>
          <w:b w:val="0"/>
          <w:color w:val="1F4E79"/>
          <w:sz w:val="22"/>
        </w:rPr>
        <w:t>the headline live result is the refrain — 7.1% vs 0.81%, p≈0.03 — the one claim that survives every gate on the root anchor.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Signal · L2 The Method · App &amp; Plot Guide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