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2 — The Method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anchor on roots · verify → validate → null → baseline → correct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install the testing discipline that governs all 17 lectures. Vectorize on the ROOT (ریشه) — highest semantic power, as in the biology course (root↔codon) and NLP (stem/lemma); surface forms and morphology are complementary. Show, on real data, a finding that survives (root-refrains 7.1% vs 0.81%) and patterns that do not (Zipf, function-word share = generic).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Verify; why roots (slides 1–3)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Verify = correct computation: 112:1 → roots قول·ءله·وحد → [1722, 2848, 153] (هو is a pronoun, no root). Then WHY roots: on surface tokens two unrelated verses (70:8, 37:153) hit r=1.00 because both carry ال (8,374) twice; the root anchor removes the artifact and drops mean pairwise r from 0.18 to 0.04.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The null, sampling, the payoff (slides 4–6)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Null model: shuffle the roots; measure under it; compare. When the space is 10^N we SAMPLE (Monte-Carlo). Show the payoff: the root null centres at r≈0.04 (vs 0.18 surface), and the exact refrain (identical roots ءلی·ربب·کذب, 31×) clears it at p≈0.002.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Baseline, refrains, many tests (slides 7–9)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shuffle null is not enough: root-Zipf slope (−0.76) and top-10 root share (0.21) MATCH random Arabic — generic. Exact root-refrain rate 7.1% vs 0.81% (p≈0.03, ~8.8×) beats the baseline — show the actual refrain table. Then 400 random channels → ~18 ‘significant’, all removed by BH-FDR; a length confound made 110/150 ‘correlate.’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Effect size, pre-registration, aliasing/overfitting, scale (slides 10–13)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 is not enough — report 7.1% vs 0.81% (~8.8×). Declare channel (root/surface/morph), statistic, null, threshold first. Aliasing and overfitting. Scale rule on real data: lag-1 autocorr std 0.48 (n≈4) → 0.09 (n≈60); Fourier/autocorrelation belong at sūra/corpus scale.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Pipeline, case study, reproducibility, dual-domain, app, audit, takeaway (slides 14–22)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Walk the refrain through all six gates (✓). Reproducibility = data + code + fixed seed. Same method guards genomics (FDR) and astronomy (look-elsewhere). Demo the app on the ROOT channel for 55:13. End on the gauntlet.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anchor = root column (ریشه). Root-refrain rate, null (mean 0.04), baseline, multiple-comparison and scale-rule figures all computed live from Book6;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L2 The Method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