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3 — Vectorization Schemes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3-hour session · root anchor · verify → null → baseline → audit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learn the channel taxonomy over the ROOT anchor — frequency, length, surface, morphology, embedding — and when each applies. Worked example: 1:1 بِسْمِ اللَّهِ الرَّحْمَٰنِ الرَّحِيمِ → roots سمو·ءله·رحم·رحم → [381, 2848, 339, 339]. Key result: root frequency is spiky ([381,2848,339,339]); root length is flat ([3,3,3,3]) — same verse, different channels.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foundations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root anchor; state the lecture’s operation and the conceptual foundation. Worked verse: 1:1 بِسْمِ اللَّهِ الرَّحْمَٰنِ الرَّحِيمِ → roots سمو·ءله·رحم·رحم → [381, 2848, 339, 339].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0:25–1:05  Worked data — on real āyāt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root frequency is spiky ([381,2848,339,339]); root length is flat ([3,3,3,3]) — same verse, different channels. Every figure is recomputed from Book6.xlsx (6,236 āyāt); examples illustrate, the corpus validates.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1:05–1:15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1:15–1:55  Across the corpus + the five threads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Show the whole-corpus distribution (not one verse); then instantiate the threads — criteria, latent-feature objective, reordering-as-tool, read-back anchor, natural-language baseline — and the scale rule.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1:55–2:25  Validation &amp; the app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a sampled null AND random Arabic, correct for the search, read back to the roots/text. Demo the app live on 1:1.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2:25–2:35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the audit ✓/✗/~, the discussion questions, and the takeaway. Most candidate patterns fail; the survivors are real.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computed from Book6.xlsx; root column (ریشه) is the anchor; Monte-Carlo uses a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L3 Vectorization Schemes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