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Arial" w:hAnsi="Arial" w:cs="Arial" w:eastAsia="Arial"/>
          <w:b/>
          <w:color w:val="1F4E79"/>
          <w:sz w:val="40"/>
        </w:rPr>
        <w:t>Lecture 6 — Smoothing, Trend &amp; Difference</w:t>
      </w:r>
    </w:p>
    <w:p>
      <w:pPr>
        <w:spacing w:after="120" w:before="0"/>
      </w:pPr>
      <w:r>
        <w:rPr>
          <w:rFonts w:ascii="Arial" w:hAnsi="Arial" w:cs="Arial" w:eastAsia="Arial"/>
          <w:b/>
          <w:color w:val="0E6E63"/>
          <w:sz w:val="24"/>
        </w:rPr>
        <w:t>Instructor Script · 3-hour session · root anchor · verify → null → baseline → audit</w:t>
      </w:r>
    </w:p>
    <w:p>
      <w:pPr>
        <w:spacing w:after="160" w:before="0"/>
      </w:pPr>
      <w:r>
        <w:rPr>
          <w:rFonts w:ascii="Arial" w:hAnsi="Arial" w:cs="Arial" w:eastAsia="Arial"/>
          <w:b/>
          <w:sz w:val="22"/>
        </w:rPr>
        <w:t xml:space="preserve">Goal: </w:t>
      </w:r>
      <w:r>
        <w:rPr>
          <w:rFonts w:ascii="Arial" w:hAnsi="Arial" w:cs="Arial" w:eastAsia="Arial"/>
          <w:b w:val="0"/>
          <w:sz w:val="22"/>
        </w:rPr>
        <w:t>split a verse signal into slow trend (moving average) and fast change (first difference). Worked example: 2:255 آيَةُ الْكُرْسِيّ (a long verse). Key result: a 3-window moving average tracks Āyat al-Kursī’s trend; the first difference flags common↔rare root transitions.</w:t>
      </w:r>
    </w:p>
    <w:p>
      <w:pPr>
        <w:spacing w:after="80" w:before="200"/>
      </w:pPr>
      <w:r>
        <w:rPr>
          <w:rFonts w:ascii="Arial" w:hAnsi="Arial" w:cs="Arial" w:eastAsia="Arial"/>
          <w:b/>
          <w:color w:val="1F4E79"/>
          <w:sz w:val="30"/>
        </w:rPr>
        <w:t>0:00–0:25  The idea &amp; foundations</w:t>
      </w:r>
    </w:p>
    <w:p>
      <w:pPr>
        <w:spacing w:after="80" w:before="0"/>
      </w:pPr>
      <w:r>
        <w:rPr>
          <w:rFonts w:ascii="Arial" w:hAnsi="Arial" w:cs="Arial" w:eastAsia="Arial"/>
          <w:b w:val="0"/>
          <w:sz w:val="22"/>
        </w:rPr>
        <w:t>Open on the root anchor; state the lecture’s operation and the conceptual foundation. Worked verse: 2:255 آيَةُ الْكُرْسِيّ (a long verse).</w:t>
      </w:r>
    </w:p>
    <w:p>
      <w:pPr>
        <w:spacing w:after="80" w:before="200"/>
      </w:pPr>
      <w:r>
        <w:rPr>
          <w:rFonts w:ascii="Arial" w:hAnsi="Arial" w:cs="Arial" w:eastAsia="Arial"/>
          <w:b/>
          <w:color w:val="1F4E79"/>
          <w:sz w:val="30"/>
        </w:rPr>
        <w:t>0:25–1:05  Worked data — on real āyāt</w:t>
      </w:r>
    </w:p>
    <w:p>
      <w:pPr>
        <w:spacing w:after="80" w:before="0"/>
      </w:pPr>
      <w:r>
        <w:rPr>
          <w:rFonts w:ascii="Arial" w:hAnsi="Arial" w:cs="Arial" w:eastAsia="Arial"/>
          <w:b w:val="0"/>
          <w:sz w:val="22"/>
        </w:rPr>
        <w:t>a 3-window moving average tracks Āyat al-Kursī’s trend; the first difference flags common↔rare root transitions. Every figure is recomputed from Book6.xlsx (6,236 āyāt); examples illustrate, the corpus validates.</w:t>
      </w:r>
    </w:p>
    <w:p>
      <w:pPr>
        <w:spacing w:after="80" w:before="200"/>
      </w:pPr>
      <w:r>
        <w:rPr>
          <w:rFonts w:ascii="Arial" w:hAnsi="Arial" w:cs="Arial" w:eastAsia="Arial"/>
          <w:b/>
          <w:color w:val="1F4E79"/>
          <w:sz w:val="30"/>
        </w:rPr>
        <w:t>1:05–1:15  Break</w:t>
      </w:r>
    </w:p>
    <w:p>
      <w:pPr>
        <w:spacing w:after="80" w:before="200"/>
      </w:pPr>
      <w:r>
        <w:rPr>
          <w:rFonts w:ascii="Arial" w:hAnsi="Arial" w:cs="Arial" w:eastAsia="Arial"/>
          <w:b/>
          <w:color w:val="1F4E79"/>
          <w:sz w:val="30"/>
        </w:rPr>
        <w:t>1:15–1:55  Across the corpus + the five threads</w:t>
      </w:r>
    </w:p>
    <w:p>
      <w:pPr>
        <w:spacing w:after="80" w:before="0"/>
      </w:pPr>
      <w:r>
        <w:rPr>
          <w:rFonts w:ascii="Arial" w:hAnsi="Arial" w:cs="Arial" w:eastAsia="Arial"/>
          <w:b w:val="0"/>
          <w:sz w:val="22"/>
        </w:rPr>
        <w:t>Show the whole-corpus distribution (not one verse); then instantiate the threads — criteria, latent-feature objective, reordering-as-tool, read-back anchor, natural-language baseline — and the scale rule.</w:t>
      </w:r>
    </w:p>
    <w:p>
      <w:pPr>
        <w:spacing w:after="80" w:before="200"/>
      </w:pPr>
      <w:r>
        <w:rPr>
          <w:rFonts w:ascii="Arial" w:hAnsi="Arial" w:cs="Arial" w:eastAsia="Arial"/>
          <w:b/>
          <w:color w:val="1F4E79"/>
          <w:sz w:val="30"/>
        </w:rPr>
        <w:t>1:55–2:25  Validation &amp; the app</w:t>
      </w:r>
    </w:p>
    <w:p>
      <w:pPr>
        <w:spacing w:after="80" w:before="0"/>
      </w:pPr>
      <w:r>
        <w:rPr>
          <w:rFonts w:ascii="Arial" w:hAnsi="Arial" w:cs="Arial" w:eastAsia="Arial"/>
          <w:b w:val="0"/>
          <w:sz w:val="22"/>
        </w:rPr>
        <w:t>Beat a sampled null AND random Arabic, correct for the search, read back to the roots/text. Demo the app live on 2:255.</w:t>
      </w:r>
    </w:p>
    <w:p>
      <w:pPr>
        <w:spacing w:after="80" w:before="200"/>
      </w:pPr>
      <w:r>
        <w:rPr>
          <w:rFonts w:ascii="Arial" w:hAnsi="Arial" w:cs="Arial" w:eastAsia="Arial"/>
          <w:b/>
          <w:color w:val="1F4E79"/>
          <w:sz w:val="30"/>
        </w:rPr>
        <w:t>2:25–2:35  Break</w:t>
      </w:r>
    </w:p>
    <w:p>
      <w:pPr>
        <w:spacing w:after="80" w:before="200"/>
      </w:pPr>
      <w:r>
        <w:rPr>
          <w:rFonts w:ascii="Arial" w:hAnsi="Arial" w:cs="Arial" w:eastAsia="Arial"/>
          <w:b/>
          <w:color w:val="1F4E79"/>
          <w:sz w:val="30"/>
        </w:rPr>
        <w:t>2:35–3:00  Audit, discussion &amp; takeaway</w:t>
      </w:r>
    </w:p>
    <w:p>
      <w:pPr>
        <w:spacing w:after="80" w:before="0"/>
      </w:pPr>
      <w:r>
        <w:rPr>
          <w:rFonts w:ascii="Arial" w:hAnsi="Arial" w:cs="Arial" w:eastAsia="Arial"/>
          <w:b w:val="0"/>
          <w:sz w:val="22"/>
        </w:rPr>
        <w:t>Close with the audit ✓/✗/~, the discussion questions, and the takeaway. Most candidate patterns fail; the survivors are real.</w:t>
      </w:r>
    </w:p>
    <w:p>
      <w:pPr>
        <w:spacing w:after="80" w:before="120"/>
      </w:pPr>
      <w:r>
        <w:rPr>
          <w:rFonts w:ascii="Arial" w:hAnsi="Arial" w:cs="Arial" w:eastAsia="Arial"/>
          <w:b/>
          <w:color w:val="1F4E79"/>
          <w:sz w:val="22"/>
        </w:rPr>
        <w:t xml:space="preserve">Provenance: </w:t>
      </w:r>
      <w:r>
        <w:rPr>
          <w:rFonts w:ascii="Arial" w:hAnsi="Arial" w:cs="Arial" w:eastAsia="Arial"/>
          <w:b w:val="0"/>
          <w:color w:val="1F4E79"/>
          <w:sz w:val="22"/>
        </w:rPr>
        <w:t>all figures computed from Book6.xlsx; root column (ریشه) is the anchor; Monte-Carlo uses a fixed seed.</w:t>
      </w:r>
    </w:p>
    <w:sectPr w:rsidR="00FC693F" w:rsidRPr="0006063C" w:rsidSect="00034616">
      <w:footerReference w:type="default" r:id="rId9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 xml:space="preserve">Signal · L6 Smoothing, Trend &amp; Difference · Instructor Script · page </w:t>
    </w:r>
    <w:r>
      <w:fldChar w:fldCharType="begin"/>
      <w:instrText xml:space="preserve">PAGE</w:instrText>
      <w:fldChar w:fldCharType="separate"/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2" w:lineRule="auto"/>
    </w:pPr>
    <w:rPr>
      <w:rFonts w:ascii="Arial" w:hAnsi="Arial" w:cs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