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Dimensionality Reduction (PCA)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reduce many sūra features to a few principal axes; interpret and validate. Worked example: all 114 sūras × 5 root-features. Key result: PC1 (62%) + PC2 (20%) = 81% of sūra variation; PC1 ≈ size &amp; richness.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all 114 sūras × 5 root-features.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PC1 (62%) + PC2 (20%) = 81% of sūra variation; PC1 ≈ size &amp; richness.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all.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