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16 — Clustering &amp; the Spectrogram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Instructor Script · 3-hour session · root anchor · verify → null → baseline → audit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Goal: </w:t>
      </w:r>
      <w:r>
        <w:rPr>
          <w:rFonts w:ascii="Arial" w:hAnsi="Arial" w:cs="Arial" w:eastAsia="Arial"/>
          <w:b w:val="0"/>
          <w:sz w:val="22"/>
        </w:rPr>
        <w:t>group sūras without labels (clustering) and turn 1-D into 2-D (spectrogram). Worked example: all 114 sūras (root-features). Key result: k=2 splits the 114 sūras into 62 and 52 — mainly by length (mean 25.6 vs 89.3 verses).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0:00–0:25  The idea &amp; foundations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Open on the root anchor; state the lecture’s operation and the conceptual foundation. Worked verse: all 114 sūras (root-features).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0:25–1:05  Worked data — on real āyāt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k=2 splits the 114 sūras into 62 and 52 — mainly by length (mean 25.6 vs 89.3 verses). Every figure is recomputed from Book6.xlsx (6,236 āyāt); examples illustrate, the corpus validates.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1:05–1:15  Break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1:15–1:55  Across the corpus + the five threads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Show the whole-corpus distribution (not one verse); then instantiate the threads — criteria, latent-feature objective, reordering-as-tool, read-back anchor, natural-language baseline — and the scale rule.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1:55–2:25  Validation &amp; the app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Beat a sampled null AND random Arabic, correct for the search, read back to the roots/text. Demo the app live on all.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2:25–2:35  Break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2:35–3:00  Audit, discussion &amp; takeaway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Close with the audit ✓/✗/~, the discussion questions, and the takeaway. Most candidate patterns fail; the survivors are real.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Provenance: </w:t>
      </w:r>
      <w:r>
        <w:rPr>
          <w:rFonts w:ascii="Arial" w:hAnsi="Arial" w:cs="Arial" w:eastAsia="Arial"/>
          <w:b w:val="0"/>
          <w:color w:val="1F4E79"/>
          <w:sz w:val="22"/>
        </w:rPr>
        <w:t>all figures computed from Book6.xlsx; root column (ریشه) is the anchor; Monte-Carlo uses a fixed seed.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L16 Clustering &amp; the Spectrogram · Instructor Script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