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Final Exam — Lectures 1–17</w:t>
      </w:r>
    </w:p>
    <w:p>
      <w:pPr>
        <w:spacing w:after="80" w:before="0"/>
      </w:pPr>
      <w:r>
        <w:rPr>
          <w:rFonts w:ascii="Arial" w:hAnsi="Arial" w:cs="Arial" w:eastAsia="Arial"/>
          <w:b/>
          <w:color w:val="0E6E63"/>
          <w:sz w:val="24"/>
        </w:rPr>
        <w:t>The whole course · 20 questions</w:t>
      </w:r>
    </w:p>
    <w:p>
      <w:pPr>
        <w:spacing w:after="160" w:before="0"/>
      </w:pPr>
      <w:r>
        <w:rPr>
          <w:rFonts w:ascii="Arial" w:hAnsi="Arial" w:cs="Arial" w:eastAsia="Arial"/>
          <w:b w:val="0"/>
          <w:sz w:val="22"/>
        </w:rPr>
        <w:t>Anchor = root (ریشه). All figures from Book6.xlsx (6,236 āyāt). Answer concisely; cite the real number where asked.</w:t>
      </w:r>
    </w:p>
    <w:p>
      <w:pPr>
        <w:spacing w:after="160" w:before="0"/>
      </w:pPr>
      <w:r>
        <w:rPr>
          <w:rFonts w:ascii="Arial" w:hAnsi="Arial" w:cs="Arial" w:eastAsia="Arial"/>
          <w:b/>
          <w:sz w:val="22"/>
        </w:rPr>
        <w:t xml:space="preserve">1. </w:t>
      </w:r>
      <w:r>
        <w:rPr>
          <w:rFonts w:ascii="Arial" w:hAnsi="Arial" w:cs="Arial" w:eastAsia="Arial"/>
          <w:b w:val="0"/>
          <w:sz w:val="22"/>
        </w:rPr>
        <w:t>State the course thesis in one sentence.</w:t>
      </w:r>
    </w:p>
    <w:p>
      <w:pPr>
        <w:spacing w:after="160" w:before="0"/>
      </w:pPr>
      <w:r>
        <w:rPr>
          <w:rFonts w:ascii="Arial" w:hAnsi="Arial" w:cs="Arial" w:eastAsia="Arial"/>
          <w:b/>
          <w:sz w:val="22"/>
        </w:rPr>
        <w:t xml:space="preserve">2. </w:t>
      </w:r>
      <w:r>
        <w:rPr>
          <w:rFonts w:ascii="Arial" w:hAnsi="Arial" w:cs="Arial" w:eastAsia="Arial"/>
          <w:b w:val="0"/>
          <w:sz w:val="22"/>
        </w:rPr>
        <w:t>Give 112:1 and 1:1 root vectors.</w:t>
      </w:r>
    </w:p>
    <w:p>
      <w:pPr>
        <w:spacing w:after="160" w:before="0"/>
      </w:pPr>
      <w:r>
        <w:rPr>
          <w:rFonts w:ascii="Arial" w:hAnsi="Arial" w:cs="Arial" w:eastAsia="Arial"/>
          <w:b/>
          <w:sz w:val="22"/>
        </w:rPr>
        <w:t xml:space="preserve">3. </w:t>
      </w:r>
      <w:r>
        <w:rPr>
          <w:rFonts w:ascii="Arial" w:hAnsi="Arial" w:cs="Arial" w:eastAsia="Arial"/>
          <w:b w:val="0"/>
          <w:sz w:val="22"/>
        </w:rPr>
        <w:t>Why anchor on roots, semantically and statistically?</w:t>
      </w:r>
    </w:p>
    <w:p>
      <w:pPr>
        <w:spacing w:after="160" w:before="0"/>
      </w:pPr>
      <w:r>
        <w:rPr>
          <w:rFonts w:ascii="Arial" w:hAnsi="Arial" w:cs="Arial" w:eastAsia="Arial"/>
          <w:b/>
          <w:sz w:val="22"/>
        </w:rPr>
        <w:t xml:space="preserve">4. </w:t>
      </w:r>
      <w:r>
        <w:rPr>
          <w:rFonts w:ascii="Arial" w:hAnsi="Arial" w:cs="Arial" w:eastAsia="Arial"/>
          <w:b w:val="0"/>
          <w:sz w:val="22"/>
        </w:rPr>
        <w:t>Refrain finding with baseline and effect size.</w:t>
      </w:r>
    </w:p>
    <w:p>
      <w:pPr>
        <w:spacing w:after="160" w:before="0"/>
      </w:pPr>
      <w:r>
        <w:rPr>
          <w:rFonts w:ascii="Arial" w:hAnsi="Arial" w:cs="Arial" w:eastAsia="Arial"/>
          <w:b/>
          <w:sz w:val="22"/>
        </w:rPr>
        <w:t xml:space="preserve">5. </w:t>
      </w:r>
      <w:r>
        <w:rPr>
          <w:rFonts w:ascii="Arial" w:hAnsi="Arial" w:cs="Arial" w:eastAsia="Arial"/>
          <w:b w:val="0"/>
          <w:sz w:val="22"/>
        </w:rPr>
        <w:t>Ar-Raḥmān period: two independent confirmations.</w:t>
      </w:r>
    </w:p>
    <w:p>
      <w:pPr>
        <w:spacing w:after="160" w:before="0"/>
      </w:pPr>
      <w:r>
        <w:rPr>
          <w:rFonts w:ascii="Arial" w:hAnsi="Arial" w:cs="Arial" w:eastAsia="Arial"/>
          <w:b/>
          <w:sz w:val="22"/>
        </w:rPr>
        <w:t xml:space="preserve">6. </w:t>
      </w:r>
      <w:r>
        <w:rPr>
          <w:rFonts w:ascii="Arial" w:hAnsi="Arial" w:cs="Arial" w:eastAsia="Arial"/>
          <w:b w:val="0"/>
          <w:sz w:val="22"/>
        </w:rPr>
        <w:t>Energy vs entropy: Al-Qadr vs Al-Kawthar.</w:t>
      </w:r>
    </w:p>
    <w:p>
      <w:pPr>
        <w:spacing w:after="160" w:before="0"/>
      </w:pPr>
      <w:r>
        <w:rPr>
          <w:rFonts w:ascii="Arial" w:hAnsi="Arial" w:cs="Arial" w:eastAsia="Arial"/>
          <w:b/>
          <w:sz w:val="22"/>
        </w:rPr>
        <w:t xml:space="preserve">7. </w:t>
      </w:r>
      <w:r>
        <w:rPr>
          <w:rFonts w:ascii="Arial" w:hAnsi="Arial" w:cs="Arial" w:eastAsia="Arial"/>
          <w:b w:val="0"/>
          <w:sz w:val="22"/>
        </w:rPr>
        <w:t>Cosine: 113 vs 114 against the corpus.</w:t>
      </w:r>
    </w:p>
    <w:p>
      <w:pPr>
        <w:spacing w:after="160" w:before="0"/>
      </w:pPr>
      <w:r>
        <w:rPr>
          <w:rFonts w:ascii="Arial" w:hAnsi="Arial" w:cs="Arial" w:eastAsia="Arial"/>
          <w:b/>
          <w:sz w:val="22"/>
        </w:rPr>
        <w:t xml:space="preserve">8. </w:t>
      </w:r>
      <w:r>
        <w:rPr>
          <w:rFonts w:ascii="Arial" w:hAnsi="Arial" w:cs="Arial" w:eastAsia="Arial"/>
          <w:b w:val="0"/>
          <w:sz w:val="22"/>
        </w:rPr>
        <w:t>Embeddings: رحم’s and ءمن’s nearest roots and the read-back.</w:t>
      </w:r>
    </w:p>
    <w:p>
      <w:pPr>
        <w:spacing w:after="160" w:before="0"/>
      </w:pPr>
      <w:r>
        <w:rPr>
          <w:rFonts w:ascii="Arial" w:hAnsi="Arial" w:cs="Arial" w:eastAsia="Arial"/>
          <w:b/>
          <w:sz w:val="22"/>
        </w:rPr>
        <w:t xml:space="preserve">9. </w:t>
      </w:r>
      <w:r>
        <w:rPr>
          <w:rFonts w:ascii="Arial" w:hAnsi="Arial" w:cs="Arial" w:eastAsia="Arial"/>
          <w:b w:val="0"/>
          <w:sz w:val="22"/>
        </w:rPr>
        <w:t>PCA over 114 sūras: variance and PC1 meaning.</w:t>
      </w:r>
    </w:p>
    <w:p>
      <w:pPr>
        <w:spacing w:after="160" w:before="0"/>
      </w:pPr>
      <w:r>
        <w:rPr>
          <w:rFonts w:ascii="Arial" w:hAnsi="Arial" w:cs="Arial" w:eastAsia="Arial"/>
          <w:b/>
          <w:sz w:val="22"/>
        </w:rPr>
        <w:t xml:space="preserve">10. </w:t>
      </w:r>
      <w:r>
        <w:rPr>
          <w:rFonts w:ascii="Arial" w:hAnsi="Arial" w:cs="Arial" w:eastAsia="Arial"/>
          <w:b w:val="0"/>
          <w:sz w:val="22"/>
        </w:rPr>
        <w:t>Clustering: the two sūra groups and the honesty caveat.</w:t>
      </w:r>
    </w:p>
    <w:p>
      <w:pPr>
        <w:spacing w:after="160" w:before="0"/>
      </w:pPr>
      <w:r>
        <w:rPr>
          <w:rFonts w:ascii="Arial" w:hAnsi="Arial" w:cs="Arial" w:eastAsia="Arial"/>
          <w:b/>
          <w:sz w:val="22"/>
        </w:rPr>
        <w:t xml:space="preserve">11. </w:t>
      </w:r>
      <w:r>
        <w:rPr>
          <w:rFonts w:ascii="Arial" w:hAnsi="Arial" w:cs="Arial" w:eastAsia="Arial"/>
          <w:b w:val="0"/>
          <w:sz w:val="22"/>
        </w:rPr>
        <w:t>Why is root frequency ratio-scale but root identity nominal?</w:t>
      </w:r>
    </w:p>
    <w:p>
      <w:pPr>
        <w:spacing w:after="160" w:before="0"/>
      </w:pPr>
      <w:r>
        <w:rPr>
          <w:rFonts w:ascii="Arial" w:hAnsi="Arial" w:cs="Arial" w:eastAsia="Arial"/>
          <w:b/>
          <w:sz w:val="22"/>
        </w:rPr>
        <w:t xml:space="preserve">12. </w:t>
      </w:r>
      <w:r>
        <w:rPr>
          <w:rFonts w:ascii="Arial" w:hAnsi="Arial" w:cs="Arial" w:eastAsia="Arial"/>
          <w:b w:val="0"/>
          <w:sz w:val="22"/>
        </w:rPr>
        <w:t>Convolution theorem and why it matters.</w:t>
      </w:r>
    </w:p>
    <w:p>
      <w:pPr>
        <w:spacing w:after="160" w:before="0"/>
      </w:pPr>
      <w:r>
        <w:rPr>
          <w:rFonts w:ascii="Arial" w:hAnsi="Arial" w:cs="Arial" w:eastAsia="Arial"/>
          <w:b/>
          <w:sz w:val="22"/>
        </w:rPr>
        <w:t xml:space="preserve">13. </w:t>
      </w:r>
      <w:r>
        <w:rPr>
          <w:rFonts w:ascii="Arial" w:hAnsi="Arial" w:cs="Arial" w:eastAsia="Arial"/>
          <w:b w:val="0"/>
          <w:sz w:val="22"/>
        </w:rPr>
        <w:t>Define the natural-language baseline and why it is needed.</w:t>
      </w:r>
    </w:p>
    <w:p>
      <w:pPr>
        <w:spacing w:after="160" w:before="0"/>
      </w:pPr>
      <w:r>
        <w:rPr>
          <w:rFonts w:ascii="Arial" w:hAnsi="Arial" w:cs="Arial" w:eastAsia="Arial"/>
          <w:b/>
          <w:sz w:val="22"/>
        </w:rPr>
        <w:t xml:space="preserve">14. </w:t>
      </w:r>
      <w:r>
        <w:rPr>
          <w:rFonts w:ascii="Arial" w:hAnsi="Arial" w:cs="Arial" w:eastAsia="Arial"/>
          <w:b w:val="0"/>
          <w:sz w:val="22"/>
        </w:rPr>
        <w:t>State the scale rule and one consequence.</w:t>
      </w:r>
    </w:p>
    <w:p>
      <w:pPr>
        <w:spacing w:after="160" w:before="0"/>
      </w:pPr>
      <w:r>
        <w:rPr>
          <w:rFonts w:ascii="Arial" w:hAnsi="Arial" w:cs="Arial" w:eastAsia="Arial"/>
          <w:b/>
          <w:sz w:val="22"/>
        </w:rPr>
        <w:t xml:space="preserve">15. </w:t>
      </w:r>
      <w:r>
        <w:rPr>
          <w:rFonts w:ascii="Arial" w:hAnsi="Arial" w:cs="Arial" w:eastAsia="Arial"/>
          <w:b w:val="0"/>
          <w:sz w:val="22"/>
        </w:rPr>
        <w:t>Multiple comparisons: the danger and the fix.</w:t>
      </w:r>
    </w:p>
    <w:p>
      <w:pPr>
        <w:spacing w:after="160" w:before="0"/>
      </w:pPr>
      <w:r>
        <w:rPr>
          <w:rFonts w:ascii="Arial" w:hAnsi="Arial" w:cs="Arial" w:eastAsia="Arial"/>
          <w:b/>
          <w:sz w:val="22"/>
        </w:rPr>
        <w:t xml:space="preserve">16. </w:t>
      </w:r>
      <w:r>
        <w:rPr>
          <w:rFonts w:ascii="Arial" w:hAnsi="Arial" w:cs="Arial" w:eastAsia="Arial"/>
          <w:b w:val="0"/>
          <w:sz w:val="22"/>
        </w:rPr>
        <w:t>The read-back anchor: state it precisely.</w:t>
      </w:r>
    </w:p>
    <w:p>
      <w:pPr>
        <w:spacing w:after="160" w:before="0"/>
      </w:pPr>
      <w:r>
        <w:rPr>
          <w:rFonts w:ascii="Arial" w:hAnsi="Arial" w:cs="Arial" w:eastAsia="Arial"/>
          <w:b/>
          <w:sz w:val="22"/>
        </w:rPr>
        <w:t xml:space="preserve">17. </w:t>
      </w:r>
      <w:r>
        <w:rPr>
          <w:rFonts w:ascii="Arial" w:hAnsi="Arial" w:cs="Arial" w:eastAsia="Arial"/>
          <w:b w:val="0"/>
          <w:sz w:val="22"/>
        </w:rPr>
        <w:t>What the course CAN and CANNOT claim.</w:t>
      </w:r>
    </w:p>
    <w:p>
      <w:pPr>
        <w:spacing w:after="160" w:before="0"/>
      </w:pPr>
      <w:r>
        <w:rPr>
          <w:rFonts w:ascii="Arial" w:hAnsi="Arial" w:cs="Arial" w:eastAsia="Arial"/>
          <w:b/>
          <w:sz w:val="22"/>
        </w:rPr>
        <w:t xml:space="preserve">18. </w:t>
      </w:r>
      <w:r>
        <w:rPr>
          <w:rFonts w:ascii="Arial" w:hAnsi="Arial" w:cs="Arial" w:eastAsia="Arial"/>
          <w:b w:val="0"/>
          <w:sz w:val="22"/>
        </w:rPr>
        <w:t>The spectrogram and the bridge it forms.</w:t>
      </w:r>
    </w:p>
    <w:p>
      <w:pPr>
        <w:spacing w:after="160" w:before="0"/>
      </w:pPr>
      <w:r>
        <w:rPr>
          <w:rFonts w:ascii="Arial" w:hAnsi="Arial" w:cs="Arial" w:eastAsia="Arial"/>
          <w:b/>
          <w:sz w:val="22"/>
        </w:rPr>
        <w:t xml:space="preserve">19. </w:t>
      </w:r>
      <w:r>
        <w:rPr>
          <w:rFonts w:ascii="Arial" w:hAnsi="Arial" w:cs="Arial" w:eastAsia="Arial"/>
          <w:b w:val="0"/>
          <w:sz w:val="22"/>
        </w:rPr>
        <w:t>Give one finding per unit (B,C,D,E) that beats a baseline.</w:t>
      </w:r>
    </w:p>
    <w:p>
      <w:pPr>
        <w:spacing w:after="160" w:before="0"/>
      </w:pPr>
      <w:r>
        <w:rPr>
          <w:rFonts w:ascii="Arial" w:hAnsi="Arial" w:cs="Arial" w:eastAsia="Arial"/>
          <w:b/>
          <w:sz w:val="22"/>
        </w:rPr>
        <w:t xml:space="preserve">20. </w:t>
      </w:r>
      <w:r>
        <w:rPr>
          <w:rFonts w:ascii="Arial" w:hAnsi="Arial" w:cs="Arial" w:eastAsia="Arial"/>
          <w:b w:val="0"/>
          <w:sz w:val="22"/>
        </w:rPr>
        <w:t>The one habit the whole course teaches.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Final Exam — Lectures 1–17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