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Why take this course?</w:t>
      </w:r>
    </w:p>
    <w:p>
      <w:pPr>
        <w:spacing w:after="160" w:before="0"/>
      </w:pPr>
      <w:r>
        <w:rPr>
          <w:rFonts w:ascii="Arial" w:hAnsi="Arial" w:cs="Arial" w:eastAsia="Arial"/>
          <w:b/>
          <w:color w:val="555555"/>
          <w:sz w:val="24"/>
        </w:rPr>
        <w:t>From Frequency to Structure — a data-driven exploration of Qur’anic roots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The one-line pitch.  </w:t>
      </w:r>
      <w:r>
        <w:rPr>
          <w:rFonts w:ascii="Arial" w:hAnsi="Arial" w:cs="Arial" w:eastAsia="Arial"/>
          <w:b w:val="0"/>
          <w:sz w:val="22"/>
        </w:rPr>
        <w:t>This course uses the Qur’an’s vocabulary as a training ground to teach a durable, transferable skill: reading numbers about anything honestly — and refusing to be fooled by confident claims that don’t survive a fair test.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What you actually leave with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1"/>
        </w:rPr>
        <w:t>The real product is not trivia about Arabic roots; it is a habit of mind you can carry into any field — research, journalism, policy, business analytics, or simply reading the news without being misled. Concretely, you learn to: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/>
          <w:sz w:val="21"/>
        </w:rPr>
        <w:t xml:space="preserve">Normalize before you compare </w:t>
      </w:r>
      <w:r>
        <w:rPr>
          <w:rFonts w:ascii="Arial" w:hAnsi="Arial" w:cs="Arial" w:eastAsia="Arial"/>
          <w:b w:val="0"/>
          <w:sz w:val="21"/>
        </w:rPr>
        <w:t>— turn a raw count into a fair rate, because bigger containers catch more of everything.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/>
          <w:sz w:val="21"/>
        </w:rPr>
        <w:t xml:space="preserve">Control for confounds </w:t>
      </w:r>
      <w:r>
        <w:rPr>
          <w:rFonts w:ascii="Arial" w:hAnsi="Arial" w:cs="Arial" w:eastAsia="Arial"/>
          <w:b w:val="0"/>
          <w:sz w:val="21"/>
        </w:rPr>
        <w:t>— ask what would happen by chance or by size alone, before crediting a pattern.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/>
          <w:sz w:val="21"/>
        </w:rPr>
        <w:t xml:space="preserve">Separate significance from support </w:t>
      </w:r>
      <w:r>
        <w:rPr>
          <w:rFonts w:ascii="Arial" w:hAnsi="Arial" w:cs="Arial" w:eastAsia="Arial"/>
          <w:b w:val="0"/>
          <w:sz w:val="21"/>
        </w:rPr>
        <w:t>— a striking result on two data points is not the same as one on two hundred.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/>
          <w:sz w:val="21"/>
        </w:rPr>
        <w:t xml:space="preserve">Respect multiple testing </w:t>
      </w:r>
      <w:r>
        <w:rPr>
          <w:rFonts w:ascii="Arial" w:hAnsi="Arial" w:cs="Arial" w:eastAsia="Arial"/>
          <w:b w:val="0"/>
          <w:sz w:val="21"/>
        </w:rPr>
        <w:t>— if you scan enough things, some will look remarkable by pure chance; predicting beats trawling.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/>
          <w:sz w:val="21"/>
        </w:rPr>
        <w:t xml:space="preserve">Audit a claim </w:t>
      </w:r>
      <w:r>
        <w:rPr>
          <w:rFonts w:ascii="Arial" w:hAnsi="Arial" w:cs="Arial" w:eastAsia="Arial"/>
          <w:b w:val="0"/>
          <w:sz w:val="21"/>
        </w:rPr>
        <w:t>— take an assertion someone circulates and return an honest verdict: supported, contradicted, or “the data can’t decide.”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/>
          <w:sz w:val="21"/>
        </w:rPr>
        <w:t xml:space="preserve">Keep fact and interpretation apart </w:t>
      </w:r>
      <w:r>
        <w:rPr>
          <w:rFonts w:ascii="Arial" w:hAnsi="Arial" w:cs="Arial" w:eastAsia="Arial"/>
          <w:b w:val="0"/>
          <w:sz w:val="21"/>
        </w:rPr>
        <w:t>— state what the data computes in one breath and what you read into it in another, labelled.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Why it matters now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1"/>
        </w:rPr>
        <w:t>We live amid confident, viral claims dressed in numbers — “word X appears exactly as often as word Y, proving a hidden design.” The course shows, with a real worked example, that such a claim can be arithmetically true and still misleading once you apply a consistent counting rule. Learning to feel the gap between a true number and a true claim is a defense against manipulation that most people are never taught — and it transfers far beyond any single text.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Common objections, answered</w:t>
      </w:r>
    </w:p>
    <w:p>
      <w:pPr>
        <w:spacing w:after="80" w:before="0"/>
      </w:pPr>
      <w:r>
        <w:rPr>
          <w:rFonts w:ascii="Arial" w:hAnsi="Arial" w:cs="Arial" w:eastAsia="Arial"/>
          <w:b/>
          <w:sz w:val="21"/>
        </w:rPr>
        <w:t xml:space="preserve">“Isn’t this just counting Arabic words?”  </w:t>
      </w:r>
      <w:r>
        <w:rPr>
          <w:rFonts w:ascii="Arial" w:hAnsi="Arial" w:cs="Arial" w:eastAsia="Arial"/>
          <w:b w:val="0"/>
          <w:sz w:val="21"/>
        </w:rPr>
        <w:t>No. Counting is week one, and the course spends the next nine weeks showing why a raw count is the start of a question, never the answer. The skill is the disciplined reasoning built on top of the counts.</w:t>
      </w:r>
    </w:p>
    <w:p>
      <w:pPr>
        <w:spacing w:after="80" w:before="0"/>
      </w:pPr>
      <w:r>
        <w:rPr>
          <w:rFonts w:ascii="Arial" w:hAnsi="Arial" w:cs="Arial" w:eastAsia="Arial"/>
          <w:b/>
          <w:sz w:val="21"/>
        </w:rPr>
        <w:t xml:space="preserve">“I’m not a statistician, and I can’t code.”  </w:t>
      </w:r>
      <w:r>
        <w:rPr>
          <w:rFonts w:ascii="Arial" w:hAnsi="Arial" w:cs="Arial" w:eastAsia="Arial"/>
          <w:b w:val="0"/>
          <w:sz w:val="21"/>
        </w:rPr>
        <w:t>Neither is required. Every measurement is introduced in plain language with an analogy before it is used; the app does the computation. The course teaches judgment, not programming.</w:t>
      </w:r>
    </w:p>
    <w:p>
      <w:pPr>
        <w:spacing w:after="80" w:before="0"/>
      </w:pPr>
      <w:r>
        <w:rPr>
          <w:rFonts w:ascii="Arial" w:hAnsi="Arial" w:cs="Arial" w:eastAsia="Arial"/>
          <w:b/>
          <w:sz w:val="21"/>
        </w:rPr>
        <w:t xml:space="preserve">“Does this replace traditional Qur’an study?”  </w:t>
      </w:r>
      <w:r>
        <w:rPr>
          <w:rFonts w:ascii="Arial" w:hAnsi="Arial" w:cs="Arial" w:eastAsia="Arial"/>
          <w:b w:val="0"/>
          <w:sz w:val="21"/>
        </w:rPr>
        <w:t>No — it complements it. The course measures structure (how the vocabulary behaves), not theology or spiritual meaning. It is a new lens beside the traditional ones, not a substitute for them.</w:t>
      </w:r>
    </w:p>
    <w:p>
      <w:pPr>
        <w:spacing w:after="80" w:before="0"/>
      </w:pPr>
      <w:r>
        <w:rPr>
          <w:rFonts w:ascii="Arial" w:hAnsi="Arial" w:cs="Arial" w:eastAsia="Arial"/>
          <w:b/>
          <w:sz w:val="21"/>
        </w:rPr>
        <w:t xml:space="preserve">“Isn’t finding ‘patterns’ in scripture just cherry-picking?”  </w:t>
      </w:r>
      <w:r>
        <w:rPr>
          <w:rFonts w:ascii="Arial" w:hAnsi="Arial" w:cs="Arial" w:eastAsia="Arial"/>
          <w:b w:val="0"/>
          <w:sz w:val="21"/>
        </w:rPr>
        <w:t>This course teaches the opposite. Its entire backbone is detecting and refusing cherry-picked patterns — controlling for chance, testing stability, and accounting for how many patterns you searched. It makes you the skeptic, not the believer of convenient coincidences.</w:t>
      </w:r>
    </w:p>
    <w:p>
      <w:pPr>
        <w:spacing w:after="80" w:before="0"/>
      </w:pPr>
      <w:r>
        <w:rPr>
          <w:rFonts w:ascii="Arial" w:hAnsi="Arial" w:cs="Arial" w:eastAsia="Arial"/>
          <w:b/>
          <w:sz w:val="21"/>
        </w:rPr>
        <w:t xml:space="preserve">“Why would a course ever say ‘the data can’t decide’?”  </w:t>
      </w:r>
      <w:r>
        <w:rPr>
          <w:rFonts w:ascii="Arial" w:hAnsi="Arial" w:cs="Arial" w:eastAsia="Arial"/>
          <w:b w:val="0"/>
          <w:sz w:val="21"/>
        </w:rPr>
        <w:t>Because honesty requires it. Many of the deepest questions — importance, intent, meaning — lie beyond what counts can reach. A course that admits its limits is more trustworthy than one that manufactures certainty, and learning to say “underdetermined” out loud is itself a mark of expertise.</w:t>
      </w:r>
    </w:p>
    <w:p>
      <w:pPr>
        <w:spacing w:after="120" w:before="0"/>
      </w:pPr>
      <w:r>
        <w:rPr>
          <w:rFonts w:ascii="Arial" w:hAnsi="Arial" w:cs="Arial" w:eastAsia="Arial"/>
          <w:b/>
          <w:sz w:val="21"/>
        </w:rPr>
        <w:t xml:space="preserve">“What can I do with it afterward?”  </w:t>
      </w:r>
      <w:r>
        <w:rPr>
          <w:rFonts w:ascii="Arial" w:hAnsi="Arial" w:cs="Arial" w:eastAsia="Arial"/>
          <w:b w:val="0"/>
          <w:sz w:val="21"/>
        </w:rPr>
        <w:t>Read a chart and spot the trick; vet a statistic before you share it; investigate any corpus — legal texts, literature, survey data — with the same nine-stage pipeline; and defend a conclusion number by number. The capstone proves it: you run the full method, unaided, on material you were never shown.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What the course is honestly NOT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1"/>
        </w:rPr>
        <w:t>In fairness to a skeptic, here is what it does not promise. It is not a course in theology, tafsir, classical Arabic grammar, or devotional practice. It will not settle questions of religious meaning or intent — and it says so plainly at every step. It is not a vocational certificate on its own; it is a way of thinking. Whether it is “worth it” depends on what you want: for durable analytical judgment and a rigorous new way into a text many already cherish, the value is high; for devotional depth or a job credential alone, look elsewhere.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The bottom line</w:t>
      </w:r>
    </w:p>
    <w:p>
      <w:pPr>
        <w:spacing w:after="80" w:before="0"/>
      </w:pPr>
      <w:r>
        <w:rPr>
          <w:rFonts w:ascii="Arial" w:hAnsi="Arial" w:cs="Arial" w:eastAsia="Arial"/>
          <w:b w:val="0"/>
          <w:color w:val="0E6E63"/>
          <w:sz w:val="22"/>
        </w:rPr>
      </w:r>
      <w:r>
        <w:rPr>
          <w:rFonts w:ascii="Arial" w:hAnsi="Arial" w:cs="Arial" w:eastAsia="Arial"/>
          <w:b/>
          <w:color w:val="0E6E63"/>
          <w:sz w:val="22"/>
        </w:rPr>
        <w:t>The Qur’an is the laboratory; clear thinking under uncertainty is the cargo. You leave able to meet an unfamiliar root — or an unfamiliar claim — and answer with measured honesty rather than confident guesswork. That habit, more than any single finding, is the course.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Why take this course? — From Frequency to Structure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