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E2761"/>
          <w:left w:val="single" w:sz="18" w:space="0" w:color="1E2761"/>
          <w:bottom w:val="single" w:sz="18" w:space="0" w:color="1E2761"/>
          <w:right w:val="single" w:sz="18" w:space="0" w:color="1E2761"/>
        </w:tblBorders>
      </w:tblPr>
      <w:tblGrid>
        <w:gridCol w:w="9936"/>
      </w:tblGrid>
      <w:tr>
        <w:tc>
          <w:tcPr>
            <w:tcW w:type="dxa" w:w="9936"/>
            <w:shd w:val="clear" w:fill="1E2761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</w:rPr>
              <w:t>وَقْفة · WAQFA</w:t>
            </w:r>
            <w:r>
              <w:rPr>
                <w:rFonts w:ascii="Arial" w:hAnsi="Arial" w:cs="Arial" w:eastAsia="Arial"/>
                <w:b w:val="0"/>
                <w:i w:val="0"/>
                <w:color w:val="CADCFC"/>
                <w:sz w:val="26"/>
              </w:rPr>
              <w:t xml:space="preserve">  —  From Measure to Meaning</w:t>
            </w:r>
          </w:p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CADCFC"/>
                <w:sz w:val="20"/>
              </w:rPr>
              <w:t>Week 1 · Frequency</w:t>
            </w:r>
          </w:p>
          <w:p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Is the Qur’an a Physician?</w:t>
            </w:r>
          </w:p>
        </w:tc>
      </w:tr>
      <w:tr>
        <w:tc>
          <w:tcPr>
            <w:tcW w:type="dxa" w:w="9936"/>
            <w:shd w:val="clear" w:fill="F4F7FC"/>
          </w:tcPr>
          <w:p>
            <w:pPr>
              <w:spacing w:before="80"/>
            </w:pPr>
            <w:r>
              <w:rPr>
                <w:rFonts w:ascii="Arial" w:hAnsi="Arial" w:cs="Arial" w:eastAsia="Arial"/>
                <w:b/>
                <w:i w:val="0"/>
                <w:color w:val="0E6E63"/>
                <w:sz w:val="21"/>
              </w:rPr>
              <w:t>THE ANCHOR</w:t>
            </w:r>
          </w:p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E2761"/>
                <w:sz w:val="28"/>
              </w:rPr>
              <w:t>وَنُنَزِّلُ مِنَ ٱلْقُرْآنِ مَا هُوَ شِفَاءٌ وَرَحْمَةٌ لِّلْمُؤْمِنِينَ ۙ وَلَا يَزِيدُ ٱلظَّالِمِينَ إِلَّا خَسَارًا</w:t>
            </w:r>
          </w:p>
          <w:p>
            <w:pPr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555555"/>
                <w:sz w:val="19"/>
              </w:rPr>
              <w:t>“And We send down of the Qur’an that which is healing and mercy for the believers, but it increases the wrongdoers in nothing but loss.”  — al-Isrāʾ 17:82</w:t>
            </w:r>
          </w:p>
          <w:p>
            <w:pPr>
              <w:spacing w:before="120"/>
            </w:pPr>
            <w:r>
              <w:rPr>
                <w:rFonts w:ascii="Arial" w:hAnsi="Arial" w:cs="Arial" w:eastAsia="Arial"/>
                <w:b/>
                <w:i w:val="0"/>
                <w:color w:val="0E6E63"/>
                <w:sz w:val="21"/>
              </w:rPr>
              <w:t xml:space="preserve">THE MEASURE  </w:t>
            </w:r>
            <w:r>
              <w:rPr>
                <w:rFonts w:ascii="Arial" w:hAnsi="Arial" w:cs="Arial" w:eastAsia="Arial"/>
                <w:b w:val="0"/>
                <w:i/>
                <w:color w:val="555555"/>
                <w:sz w:val="18"/>
              </w:rPr>
              <w:t>(computed from Book6 — fact)</w:t>
            </w:r>
          </w:p>
          <w:p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 xml:space="preserve">ظلم (wrong)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>290 ayahs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vs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 xml:space="preserve">عدل (justice)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>24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→ about </w:t>
            </w:r>
            <w:r>
              <w:rPr>
                <w:rFonts w:ascii="Arial" w:hAnsi="Arial" w:cs="Arial" w:eastAsia="Arial"/>
                <w:b/>
                <w:i w:val="0"/>
                <w:color w:val="A23B3B"/>
                <w:sz w:val="21"/>
              </w:rPr>
              <w:t>12×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: the pathology is named far more than the abstract ideal. Yet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 xml:space="preserve">فسد (corruption)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>47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&lt;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 xml:space="preserve">صلح (right action / regimen)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>170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, and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 xml:space="preserve">شفاء (healing)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>appears just 6×. So the corpus runs heavy on diagnosis and on the prescribed regimen, and light on lyrical descriptions of perfect health.</w:t>
            </w:r>
          </w:p>
          <w:p>
            <w:pPr>
              <w:spacing w:before="120"/>
            </w:pPr>
            <w:r>
              <w:rPr>
                <w:rFonts w:ascii="Arial" w:hAnsi="Arial" w:cs="Arial" w:eastAsia="Arial"/>
                <w:b/>
                <w:i w:val="0"/>
                <w:color w:val="0E6E63"/>
                <w:sz w:val="21"/>
              </w:rPr>
              <w:t xml:space="preserve">THE READING  </w:t>
            </w:r>
            <w:r>
              <w:rPr>
                <w:rFonts w:ascii="Arial" w:hAnsi="Arial" w:cs="Arial" w:eastAsia="Arial"/>
                <w:b w:val="0"/>
                <w:i/>
                <w:color w:val="555555"/>
                <w:sz w:val="18"/>
              </w:rPr>
              <w:t>(labeled interpretation)</w:t>
            </w:r>
          </w:p>
          <w:p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That signature reads like a physician’s notebook: name the illness plainly, prescribe the daily regimen, and assume — rather than lecture on — perfect health. The verse supplies the mechanism: </w:t>
            </w:r>
            <w:r>
              <w:rPr>
                <w:rFonts w:ascii="Arial" w:hAnsi="Arial" w:cs="Arial" w:eastAsia="Arial"/>
                <w:b/>
                <w:i w:val="0"/>
                <w:color w:val="1E2761"/>
                <w:sz w:val="21"/>
              </w:rPr>
              <w:t>one medicine, two outcomes.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The same revelation heals the believer and, for the one who refuses it, “increases only in loss” — exactly like a prescription, whose benefit is conditional on the patient. A course of treatment abandoned does not return you to where you began; it lets the disease advance.</w:t>
            </w:r>
          </w:p>
          <w:p>
            <w:pPr>
              <w:spacing w:before="120"/>
            </w:pPr>
            <w:r>
              <w:rPr>
                <w:rFonts w:ascii="Arial" w:hAnsi="Arial" w:cs="Arial" w:eastAsia="Arial"/>
                <w:b/>
                <w:i w:val="0"/>
                <w:color w:val="A23B3B"/>
                <w:sz w:val="21"/>
              </w:rPr>
              <w:t xml:space="preserve">WHERE IT STRAINS  </w:t>
            </w:r>
            <w:r>
              <w:rPr>
                <w:rFonts w:ascii="Arial" w:hAnsi="Arial" w:cs="Arial" w:eastAsia="Arial"/>
                <w:b w:val="0"/>
                <w:i/>
                <w:color w:val="555555"/>
                <w:sz w:val="18"/>
              </w:rPr>
              <w:t>(the honest caveat)</w:t>
            </w:r>
          </w:p>
          <w:p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Don’t say “only for the sick.” The verse pairs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 xml:space="preserve">شفاء (healing)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with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>رحمة (mercy)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— nourishment for the already-healthy, not only a cure. So the Qur’an is physician </w:t>
            </w:r>
            <w:r>
              <w:rPr>
                <w:rFonts w:ascii="Arial" w:hAnsi="Arial" w:cs="Arial" w:eastAsia="Arial"/>
                <w:b w:val="0"/>
                <w:i/>
                <w:color w:val="222A33"/>
                <w:sz w:val="21"/>
              </w:rPr>
              <w:t>and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food. And keep the discipline: the counts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>motivate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this reading; they do not </w:t>
            </w:r>
            <w:r>
              <w:rPr>
                <w:rFonts w:ascii="Arial" w:hAnsi="Arial" w:cs="Arial" w:eastAsia="Arial"/>
                <w:b/>
                <w:i w:val="0"/>
                <w:color w:val="222A33"/>
                <w:sz w:val="21"/>
              </w:rPr>
              <w:t>prove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1"/>
              </w:rPr>
              <w:t xml:space="preserve"> it. This box is interpretation, clearly labeled — never computed fact.</w:t>
            </w:r>
          </w:p>
          <w:p>
            <w:pPr>
              <w:spacing w:before="120"/>
            </w:pPr>
            <w:r>
              <w:rPr>
                <w:rFonts w:ascii="Arial" w:hAnsi="Arial" w:cs="Arial" w:eastAsia="Arial"/>
                <w:b/>
                <w:i w:val="0"/>
                <w:color w:val="0E6E63"/>
                <w:sz w:val="21"/>
              </w:rPr>
              <w:t>FOR DISCUSSION</w:t>
            </w:r>
          </w:p>
          <w:p>
            <w:pPr>
              <w:spacing w:after="40"/>
              <w:ind w:left="317"/>
            </w:pPr>
            <w:r>
              <w:rPr>
                <w:rFonts w:ascii="Arial" w:hAnsi="Arial" w:cs="Arial" w:eastAsia="Arial"/>
                <w:b/>
                <w:i w:val="0"/>
                <w:color w:val="1E2761"/>
                <w:sz w:val="21"/>
              </w:rPr>
              <w:t xml:space="preserve">1. 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0"/>
              </w:rPr>
              <w:t>Why might an honest physician name the disease (ظلم, 290×) far more than the ideal in the abstract (عدل, 24×)? Where else do we describe problems more than ideals?</w:t>
            </w:r>
          </w:p>
          <w:p>
            <w:pPr>
              <w:spacing w:after="40"/>
              <w:ind w:left="317"/>
            </w:pPr>
            <w:r>
              <w:rPr>
                <w:rFonts w:ascii="Arial" w:hAnsi="Arial" w:cs="Arial" w:eastAsia="Arial"/>
                <w:b/>
                <w:i w:val="0"/>
                <w:color w:val="1E2761"/>
                <w:sz w:val="21"/>
              </w:rPr>
              <w:t xml:space="preserve">2. 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0"/>
              </w:rPr>
              <w:t>“Same rain, two soils.” What makes one patient heal and another worsen on the identical medicine — and what is its equivalent in how a reader meets the text?</w:t>
            </w:r>
          </w:p>
          <w:p>
            <w:pPr>
              <w:spacing w:after="40"/>
              <w:ind w:left="317"/>
            </w:pPr>
            <w:r>
              <w:rPr>
                <w:rFonts w:ascii="Arial" w:hAnsi="Arial" w:cs="Arial" w:eastAsia="Arial"/>
                <w:b/>
                <w:i w:val="0"/>
                <w:color w:val="1E2761"/>
                <w:sz w:val="21"/>
              </w:rPr>
              <w:t xml:space="preserve">3.  </w:t>
            </w:r>
            <w:r>
              <w:rPr>
                <w:rFonts w:ascii="Arial" w:hAnsi="Arial" w:cs="Arial" w:eastAsia="Arial"/>
                <w:b w:val="0"/>
                <w:i w:val="0"/>
                <w:color w:val="222A33"/>
                <w:sz w:val="20"/>
              </w:rPr>
              <w:t>Is owning or reciting the prescription the same as taking it? What would real compliance look like?</w:t>
            </w:r>
          </w:p>
          <w:p>
            <w:pPr>
              <w:spacing w:before="160"/>
            </w:pPr>
            <w:r>
              <w:rPr>
                <w:rFonts w:ascii="Arial" w:hAnsi="Arial" w:cs="Arial" w:eastAsia="Arial"/>
                <w:b/>
                <w:i w:val="0"/>
                <w:color w:val="555555"/>
                <w:sz w:val="17"/>
              </w:rPr>
              <w:t xml:space="preserve">How to reuse: </w:t>
            </w:r>
            <w:r>
              <w:rPr>
                <w:rFonts w:ascii="Arial" w:hAnsi="Arial" w:cs="Arial" w:eastAsia="Arial"/>
                <w:b w:val="0"/>
                <w:i/>
                <w:color w:val="555555"/>
                <w:sz w:val="17"/>
              </w:rPr>
              <w:t>Each session carries one Waqfa — Anchor · The Measure (that week’s computed fact) · The Reading (labeled interpretation) · Where it strains · For discussion. It is the course’s designated interpretation space: fact stays in the lecture; meaning lives here, always labeled.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