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Week 1 — Further Study &amp; Research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Optional extensions for the curious. Stay data-driven: test before you claim.</w:t>
      </w:r>
    </w:p>
    <w:p>
      <w:pPr>
        <w:pStyle w:val="Heading1"/>
      </w:pPr>
      <w:r>
        <w:rPr>
          <w:rFonts w:ascii="Arial" w:cs="Arial" w:eastAsia="Arial" w:hAnsi="Arial"/>
        </w:rPr>
        <w:t xml:space="preserve">Extend the method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Compare ayah-frequency vs term-frequency systematically across 10 roots — where is the gap largest, and why?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Rank roots by per-1000-ayahs, then by per-1000-roots — where do the two rankings disagree, and why?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Pick a root family and ask whether its surface forms (one root) behave as one theme or several.</w:t>
      </w:r>
    </w:p>
    <w:p>
      <w:pPr>
        <w:pStyle w:val="Heading1"/>
      </w:pPr>
      <w:r>
        <w:rPr>
          <w:rFonts w:ascii="Arial" w:cs="Arial" w:eastAsia="Arial" w:hAnsi="Arial"/>
        </w:rPr>
        <w:t xml:space="preserve">Questions worth investigating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Does a high rate per 1000 track what tradition treats as an “important” theme — or not?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Why does </w:t>
      </w:r>
      <w:r>
        <w:rPr>
          <w:rFonts w:ascii="Arial" w:cs="Arial" w:eastAsia="Arial" w:hAnsi="Arial"/>
        </w:rPr>
        <w:t xml:space="preserve">هدي</w:t>
      </w:r>
      <w:r>
        <w:rPr>
          <w:rFonts w:ascii="Arial" w:cs="Arial" w:eastAsia="Arial" w:hAnsi="Arial"/>
        </w:rPr>
        <w:t xml:space="preserve"> edge out </w:t>
      </w:r>
      <w:r>
        <w:rPr>
          <w:rFonts w:ascii="Arial" w:cs="Arial" w:eastAsia="Arial" w:hAnsi="Arial"/>
        </w:rPr>
        <w:t xml:space="preserve">ظلم</w:t>
      </w:r>
      <w:r>
        <w:rPr>
          <w:rFonts w:ascii="Arial" w:cs="Arial" w:eastAsia="Arial" w:hAnsi="Arial"/>
        </w:rPr>
        <w:t xml:space="preserve"> per-root yet trail per-ayah — what does that reveal about verse length?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Which roots are rare overall (like </w:t>
      </w:r>
      <w:r>
        <w:rPr>
          <w:rFonts w:ascii="Arial" w:cs="Arial" w:eastAsia="Arial" w:hAnsi="Arial"/>
        </w:rPr>
        <w:t xml:space="preserve">عدل</w:t>
      </w:r>
      <w:r>
        <w:rPr>
          <w:rFonts w:ascii="Arial" w:cs="Arial" w:eastAsia="Arial" w:hAnsi="Arial"/>
        </w:rPr>
        <w:t xml:space="preserve">) yet feel central — and what does that tension suggest?</w:t>
      </w:r>
    </w:p>
    <w:p>
      <w:pPr>
        <w:pStyle w:val="Heading1"/>
      </w:pPr>
      <w:r>
        <w:rPr>
          <w:rFonts w:ascii="Arial" w:cs="Arial" w:eastAsia="Arial" w:hAnsi="Arial"/>
        </w:rPr>
        <w:t xml:space="preserve">Individual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Track one root that matters to you personally across the surahs where it occurs; read those ayahs in context.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Notice how counting changes what you attend to — and what it makes you miss.</w:t>
      </w:r>
    </w:p>
    <w:p>
      <w:pPr>
        <w:pStyle w:val="Heading1"/>
      </w:pPr>
      <w:r>
        <w:rPr>
          <w:rFonts w:ascii="Arial" w:cs="Arial" w:eastAsia="Arial" w:hAnsi="Arial"/>
        </w:rPr>
        <w:t xml:space="preserve">Social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Justice/oppression roots (</w:t>
      </w:r>
      <w:r>
        <w:rPr>
          <w:rFonts w:ascii="Arial" w:cs="Arial" w:eastAsia="Arial" w:hAnsi="Arial"/>
        </w:rPr>
        <w:t xml:space="preserve">عدل، ظلم، قسط</w:t>
      </w:r>
      <w:r>
        <w:rPr>
          <w:rFonts w:ascii="Arial" w:cs="Arial" w:eastAsia="Arial" w:hAnsi="Arial"/>
        </w:rPr>
        <w:t xml:space="preserve">) — how does measuring how often each is named inform communal reading vs private piety?</w:t>
      </w:r>
    </w:p>
    <w:p>
      <w:pPr>
        <w:pStyle w:val="Heading1"/>
      </w:pPr>
      <w:r>
        <w:rPr>
          <w:rFonts w:ascii="Arial" w:cs="Arial" w:eastAsia="Arial" w:hAnsi="Arial"/>
        </w:rPr>
        <w:t xml:space="preserve">Read more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Zipf’s law and word-frequency distributions (why most words/roots are rare).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Type–token ratio and document vs term frequency in corpus linguistics.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Arabic root-and-pattern morphology (how one root yields many words).</w:t>
      </w:r>
    </w:p>
    <w:p>
      <w:pPr>
        <w:pStyle w:val="ListParagraph"/>
      </w:pPr>
      <w:r>
        <w:rPr>
          <w:rFonts w:ascii="Arial" w:hAnsi="Arial" w:cs="Arial" w:eastAsia="Arial"/>
        </w:rPr>
        <w:t>Vector space model and the document–term matrix — how word/root counts become coordinates and geometry.</w:t>
      </w:r>
    </w:p>
    <w:p>
      <w:pPr>
        <w:pStyle w:val="ListParagraph"/>
      </w:pPr>
      <w:r>
        <w:rPr>
          <w:rFonts w:ascii="Arial" w:hAnsi="Arial" w:cs="Arial" w:eastAsia="Arial"/>
        </w:rPr>
        <w:t>Cosine similarity — comparing two count-vectors by angle, not raw size.</w:t>
      </w:r>
    </w:p>
    <w:p>
      <w:pPr>
        <w:pStyle w:val="ListParagraph"/>
      </w:pPr>
      <w:r>
        <w:rPr>
          <w:rFonts w:ascii="Arial" w:hAnsi="Arial" w:cs="Arial" w:eastAsia="Arial"/>
        </w:rPr>
        <w:t>Word embeddings and skip-gram (word2vec) — the predictive successors to plain counting (further-study only; not used in this course's data-driven claims).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Further Study   •   Week 1   •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line="240" w:lineRule="auto"/>
        <w:ind w:left="460" w:hanging="260"/>
      </w:pPr>
    </w:lvl>
    <w:lvl w:ilvl="1" w15:tentative="1">
      <w:start w:val="1"/>
      <w:numFmt w:val="bullet"/>
      <w:lvlText w:val="–"/>
      <w:lvlJc w:val="left"/>
      <w:pPr>
        <w:spacing w:after="30" w:line="240" w:lineRule="auto"/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line="240" w:lineRule="auto"/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00" w:line="240" w:lineRule="auto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 w:line="240" w:lineRule="auto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2026-05-29T00:38:20.550Z</dcterms:created>
  <dcterms:modified xsi:type="dcterms:W3CDTF">2026-05-29T00:38:20.551Z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