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Week 1 — Quiz Answer Key (instructor)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One point each, 14 total. Values reproducible in the app / engine.</w:t>
      </w:r>
    </w:p>
    <w:p>
      <w:pPr>
        <w:pStyle w:val="Heading1"/>
      </w:pPr>
      <w:r>
        <w:rPr>
          <w:rFonts w:ascii="Arial" w:cs="Arial" w:eastAsia="Arial" w:hAnsi="Arial"/>
        </w:rPr>
        <w:t xml:space="preserve">Answers</w:t>
      </w:r>
    </w:p>
    <w:p>
      <w:pPr>
        <w:spacing w:after="30"/>
      </w:pPr>
      <w:r>
        <w:rPr>
          <w:rFonts w:ascii="Arial" w:cs="Arial" w:eastAsia="Arial" w:hAnsi="Arial"/>
          <w:b/>
          <w:bCs/>
        </w:rPr>
        <w:t xml:space="preserve">1.  </w:t>
      </w:r>
      <w:r>
        <w:rPr>
          <w:rFonts w:ascii="Arial" w:cs="Arial" w:eastAsia="Arial" w:hAnsi="Arial"/>
          <w:b/>
          <w:bCs/>
          <w:color w:val="1F7A1F"/>
        </w:rPr>
        <w:t xml:space="preserve">B</w:t>
      </w:r>
      <w:r>
        <w:rPr>
          <w:rFonts w:ascii="Arial" w:cs="Arial" w:eastAsia="Arial" w:hAnsi="Arial"/>
        </w:rPr>
        <w:t xml:space="preserve">  — </w:t>
      </w:r>
      <w:r>
        <w:rPr>
          <w:rFonts w:ascii="Arial" w:cs="Arial" w:eastAsia="Arial" w:hAnsi="Arial"/>
        </w:rPr>
        <w:t xml:space="preserve">ayah-frequency = document frequency, once per ayah.</w:t>
      </w:r>
    </w:p>
    <w:p>
      <w:pPr>
        <w:spacing w:after="30"/>
      </w:pPr>
      <w:r>
        <w:rPr>
          <w:rFonts w:ascii="Arial" w:cs="Arial" w:eastAsia="Arial" w:hAnsi="Arial"/>
          <w:b/>
          <w:bCs/>
        </w:rPr>
        <w:t xml:space="preserve">2.  </w:t>
      </w:r>
      <w:r>
        <w:rPr>
          <w:rFonts w:ascii="Arial" w:cs="Arial" w:eastAsia="Arial" w:hAnsi="Arial"/>
          <w:b/>
          <w:bCs/>
          <w:color w:val="1F7A1F"/>
        </w:rPr>
        <w:t xml:space="preserve">C</w:t>
      </w:r>
      <w:r>
        <w:rPr>
          <w:rFonts w:ascii="Arial" w:cs="Arial" w:eastAsia="Arial" w:hAnsi="Arial"/>
        </w:rPr>
        <w:t xml:space="preserve">  — </w:t>
      </w:r>
      <w:r>
        <w:rPr>
          <w:rFonts w:ascii="Arial" w:cs="Arial" w:eastAsia="Arial" w:hAnsi="Arial"/>
        </w:rPr>
        <w:t xml:space="preserve">term-frequency counts every token, so it is ≥ ayah-frequency.</w:t>
      </w:r>
    </w:p>
    <w:p>
      <w:pPr>
        <w:spacing w:after="30"/>
      </w:pPr>
      <w:r>
        <w:rPr>
          <w:rFonts w:ascii="Arial" w:cs="Arial" w:eastAsia="Arial" w:hAnsi="Arial"/>
          <w:b/>
          <w:bCs/>
        </w:rPr>
        <w:t xml:space="preserve">3.  </w:t>
      </w:r>
      <w:r>
        <w:rPr>
          <w:rFonts w:ascii="Arial" w:cs="Arial" w:eastAsia="Arial" w:hAnsi="Arial"/>
          <w:b/>
          <w:bCs/>
          <w:color w:val="1F7A1F"/>
        </w:rPr>
        <w:t xml:space="preserve">B</w:t>
      </w:r>
      <w:r>
        <w:rPr>
          <w:rFonts w:ascii="Arial" w:cs="Arial" w:eastAsia="Arial" w:hAnsi="Arial"/>
        </w:rPr>
        <w:t xml:space="preserve">  — </w:t>
      </w:r>
      <w:r>
        <w:rPr>
          <w:rFonts w:ascii="Arial" w:cs="Arial" w:eastAsia="Arial" w:hAnsi="Arial"/>
        </w:rPr>
        <w:t xml:space="preserve">normalization makes roots comparable across the corpus.</w:t>
      </w:r>
    </w:p>
    <w:p>
      <w:pPr>
        <w:spacing w:after="30"/>
      </w:pPr>
      <w:r>
        <w:rPr>
          <w:rFonts w:ascii="Arial" w:cs="Arial" w:eastAsia="Arial" w:hAnsi="Arial"/>
          <w:b/>
          <w:bCs/>
        </w:rPr>
        <w:t xml:space="preserve">4.  </w:t>
      </w:r>
      <w:r>
        <w:rPr>
          <w:rFonts w:ascii="Arial" w:cs="Arial" w:eastAsia="Arial" w:hAnsi="Arial"/>
          <w:b/>
          <w:bCs/>
          <w:color w:val="1F7A1F"/>
        </w:rPr>
        <w:t xml:space="preserve">B</w:t>
      </w:r>
      <w:r>
        <w:rPr>
          <w:rFonts w:ascii="Arial" w:cs="Arial" w:eastAsia="Arial" w:hAnsi="Arial"/>
        </w:rPr>
        <w:t xml:space="preserve">  — </w:t>
      </w:r>
      <w:r>
        <w:rPr>
          <w:rFonts w:ascii="Arial" w:cs="Arial" w:eastAsia="Arial" w:hAnsi="Arial"/>
        </w:rPr>
        <w:t xml:space="preserve">rate/1k ayahs = f ÷ 6236 × 1000.</w:t>
      </w:r>
    </w:p>
    <w:p>
      <w:pPr>
        <w:spacing w:after="30"/>
      </w:pPr>
      <w:r>
        <w:rPr>
          <w:rFonts w:ascii="Arial" w:cs="Arial" w:eastAsia="Arial" w:hAnsi="Arial"/>
          <w:b/>
          <w:bCs/>
        </w:rPr>
        <w:t xml:space="preserve">5.  </w:t>
      </w:r>
      <w:r>
        <w:rPr>
          <w:rFonts w:ascii="Arial" w:cs="Arial" w:eastAsia="Arial" w:hAnsi="Arial"/>
          <w:b/>
          <w:bCs/>
          <w:color w:val="1F7A1F"/>
        </w:rPr>
        <w:t xml:space="preserve">C</w:t>
      </w:r>
      <w:r>
        <w:rPr>
          <w:rFonts w:ascii="Arial" w:cs="Arial" w:eastAsia="Arial" w:hAnsi="Arial"/>
        </w:rPr>
        <w:t xml:space="preserve">  — </w:t>
      </w:r>
      <w:r>
        <w:rPr>
          <w:rFonts w:ascii="Arial" w:cs="Arial" w:eastAsia="Arial" w:hAnsi="Arial"/>
        </w:rPr>
        <w:t xml:space="preserve">290 ÷ 6236 × 1000 = 46.5.</w:t>
      </w:r>
    </w:p>
    <w:p>
      <w:pPr>
        <w:spacing w:after="30"/>
      </w:pPr>
      <w:r>
        <w:rPr>
          <w:rFonts w:ascii="Arial" w:cs="Arial" w:eastAsia="Arial" w:hAnsi="Arial"/>
          <w:b/>
          <w:bCs/>
        </w:rPr>
        <w:t xml:space="preserve">6.  </w:t>
      </w:r>
      <w:r>
        <w:rPr>
          <w:rFonts w:ascii="Arial" w:cs="Arial" w:eastAsia="Arial" w:hAnsi="Arial"/>
          <w:b/>
          <w:bCs/>
          <w:color w:val="1F7A1F"/>
        </w:rPr>
        <w:t xml:space="preserve">B</w:t>
      </w:r>
      <w:r>
        <w:rPr>
          <w:rFonts w:ascii="Arial" w:cs="Arial" w:eastAsia="Arial" w:hAnsi="Arial"/>
        </w:rPr>
        <w:t xml:space="preserve">  — </w:t>
      </w:r>
      <w:r>
        <w:rPr>
          <w:rFonts w:ascii="Arial" w:cs="Arial" w:eastAsia="Arial" w:hAnsi="Arial"/>
        </w:rPr>
        <w:t xml:space="preserve">longer surahs accrue more hits by length alone.</w:t>
      </w:r>
    </w:p>
    <w:p>
      <w:pPr>
        <w:spacing w:after="30"/>
      </w:pPr>
      <w:r>
        <w:rPr>
          <w:rFonts w:ascii="Arial" w:cs="Arial" w:eastAsia="Arial" w:hAnsi="Arial"/>
          <w:b/>
          <w:bCs/>
        </w:rPr>
        <w:t xml:space="preserve">7.  </w:t>
      </w:r>
      <w:r>
        <w:rPr>
          <w:rFonts w:ascii="Arial" w:cs="Arial" w:eastAsia="Arial" w:hAnsi="Arial"/>
          <w:b/>
          <w:bCs/>
          <w:color w:val="1F7A1F"/>
        </w:rPr>
        <w:t xml:space="preserve">C</w:t>
      </w:r>
      <w:r>
        <w:rPr>
          <w:rFonts w:ascii="Arial" w:cs="Arial" w:eastAsia="Arial" w:hAnsi="Arial"/>
        </w:rPr>
        <w:t xml:space="preserve">  — </w:t>
      </w:r>
      <w:r>
        <w:rPr>
          <w:rFonts w:ascii="Arial" w:cs="Arial" w:eastAsia="Arial" w:hAnsi="Arial"/>
        </w:rPr>
        <w:t xml:space="preserve">size-true rate = term-freq ÷ 51,024 root-tokens × 1000.</w:t>
      </w:r>
    </w:p>
    <w:p>
      <w:pPr>
        <w:spacing w:after="30"/>
      </w:pPr>
      <w:r>
        <w:rPr>
          <w:rFonts w:ascii="Arial" w:cs="Arial" w:eastAsia="Arial" w:hAnsi="Arial"/>
          <w:b/>
          <w:bCs/>
        </w:rPr>
        <w:t xml:space="preserve">8.  </w:t>
      </w:r>
      <w:r>
        <w:rPr>
          <w:rFonts w:ascii="Arial" w:cs="Arial" w:eastAsia="Arial" w:hAnsi="Arial"/>
          <w:b/>
          <w:bCs/>
          <w:color w:val="1F7A1F"/>
        </w:rPr>
        <w:t xml:space="preserve">A</w:t>
      </w:r>
      <w:r>
        <w:rPr>
          <w:rFonts w:ascii="Arial" w:cs="Arial" w:eastAsia="Arial" w:hAnsi="Arial"/>
        </w:rPr>
        <w:t xml:space="preserve">  — </w:t>
      </w:r>
      <w:r>
        <w:rPr>
          <w:rFonts w:ascii="Arial" w:cs="Arial" w:eastAsia="Arial" w:hAnsi="Arial"/>
        </w:rPr>
        <w:t xml:space="preserve">root reduction collapses inflected word-forms to one root.</w:t>
      </w:r>
    </w:p>
    <w:p>
      <w:pPr>
        <w:spacing w:after="30"/>
      </w:pPr>
      <w:r>
        <w:rPr>
          <w:rFonts w:ascii="Arial" w:cs="Arial" w:eastAsia="Arial" w:hAnsi="Arial"/>
          <w:b/>
          <w:bCs/>
        </w:rPr>
        <w:t xml:space="preserve">9.  </w:t>
      </w:r>
      <w:r>
        <w:rPr>
          <w:rFonts w:ascii="Arial" w:cs="Arial" w:eastAsia="Arial" w:hAnsi="Arial"/>
          <w:b/>
          <w:bCs/>
          <w:color w:val="1F7A1F"/>
        </w:rPr>
        <w:t xml:space="preserve">B</w:t>
      </w:r>
      <w:r>
        <w:rPr>
          <w:rFonts w:ascii="Arial" w:cs="Arial" w:eastAsia="Arial" w:hAnsi="Arial"/>
        </w:rPr>
        <w:t xml:space="preserve">  — </w:t>
      </w:r>
      <w:r>
        <w:rPr>
          <w:rFonts w:ascii="Arial" w:cs="Arial" w:eastAsia="Arial" w:hAnsi="Arial"/>
        </w:rPr>
        <w:t xml:space="preserve">particles/pronouns/prepositions mostly lack a triliteral root.</w:t>
      </w:r>
    </w:p>
    <w:p>
      <w:pPr>
        <w:spacing w:after="30"/>
      </w:pPr>
      <w:r>
        <w:rPr>
          <w:rFonts w:ascii="Arial" w:cs="Arial" w:eastAsia="Arial" w:hAnsi="Arial"/>
          <w:b/>
          <w:bCs/>
        </w:rPr>
        <w:t xml:space="preserve">10.  </w:t>
      </w:r>
      <w:r>
        <w:rPr>
          <w:rFonts w:ascii="Arial" w:cs="Arial" w:eastAsia="Arial" w:hAnsi="Arial"/>
          <w:b/>
          <w:bCs/>
          <w:color w:val="1F7A1F"/>
        </w:rPr>
        <w:t xml:space="preserve">A</w:t>
      </w:r>
      <w:r>
        <w:rPr>
          <w:rFonts w:ascii="Arial" w:cs="Arial" w:eastAsia="Arial" w:hAnsi="Arial"/>
        </w:rPr>
        <w:t xml:space="preserve">  — </w:t>
      </w:r>
      <w:r>
        <w:rPr>
          <w:rFonts w:ascii="Arial" w:cs="Arial" w:eastAsia="Arial" w:hAnsi="Arial"/>
        </w:rPr>
        <w:t xml:space="preserve">True — root counting erases order, POS, and sense; keeps the consonant skeleton.</w:t>
      </w:r>
    </w:p>
    <w:p>
      <w:pPr>
        <w:spacing w:after="30"/>
      </w:pPr>
      <w:r>
        <w:rPr>
          <w:rFonts w:ascii="Arial" w:cs="Arial" w:eastAsia="Arial" w:hAnsi="Arial"/>
          <w:b/>
          <w:bCs/>
        </w:rPr>
        <w:t xml:space="preserve">11.  </w:t>
      </w:r>
      <w:r>
        <w:rPr>
          <w:rFonts w:ascii="Arial" w:cs="Arial" w:eastAsia="Arial" w:hAnsi="Arial"/>
          <w:b/>
          <w:bCs/>
          <w:color w:val="1F7A1F"/>
        </w:rPr>
        <w:t xml:space="preserve">B</w:t>
      </w:r>
      <w:r>
        <w:rPr>
          <w:rFonts w:ascii="Arial" w:cs="Arial" w:eastAsia="Arial" w:hAnsi="Arial"/>
        </w:rPr>
        <w:t xml:space="preserve">  — </w:t>
      </w:r>
      <w:r>
        <w:rPr>
          <w:rFonts w:ascii="Arial" w:cs="Arial" w:eastAsia="Arial" w:hAnsi="Arial"/>
        </w:rPr>
        <w:t xml:space="preserve">Zipf-like long tail: most roots are rare.</w:t>
      </w:r>
    </w:p>
    <w:p>
      <w:pPr>
        <w:spacing w:after="30"/>
      </w:pPr>
      <w:r>
        <w:rPr>
          <w:rFonts w:ascii="Arial" w:cs="Arial" w:eastAsia="Arial" w:hAnsi="Arial"/>
          <w:b/>
          <w:bCs/>
        </w:rPr>
        <w:t xml:space="preserve">12.  </w:t>
      </w:r>
      <w:r>
        <w:rPr>
          <w:rFonts w:ascii="Arial" w:cs="Arial" w:eastAsia="Arial" w:hAnsi="Arial"/>
          <w:b/>
          <w:bCs/>
          <w:color w:val="1F7A1F"/>
        </w:rPr>
        <w:t xml:space="preserve">B</w:t>
      </w:r>
      <w:r>
        <w:rPr>
          <w:rFonts w:ascii="Arial" w:cs="Arial" w:eastAsia="Arial" w:hAnsi="Arial"/>
        </w:rPr>
        <w:t xml:space="preserve">  — </w:t>
      </w:r>
      <w:r>
        <w:rPr>
          <w:rFonts w:ascii="Arial" w:cs="Arial" w:eastAsia="Arial" w:hAnsi="Arial"/>
        </w:rPr>
        <w:t xml:space="preserve">رحم</w:t>
      </w:r>
      <w:r>
        <w:rPr>
          <w:rFonts w:ascii="Arial" w:cs="Arial" w:eastAsia="Arial" w:hAnsi="Arial"/>
        </w:rPr>
        <w:t xml:space="preserve"> — 4 tokens across 2 ayahs in al-Fatiha.</w:t>
      </w:r>
    </w:p>
    <w:p>
      <w:pPr>
        <w:spacing w:after="30"/>
      </w:pPr>
      <w:r>
        <w:rPr>
          <w:rFonts w:ascii="Arial" w:cs="Arial" w:eastAsia="Arial" w:hAnsi="Arial"/>
          <w:b/>
          <w:bCs/>
        </w:rPr>
        <w:t xml:space="preserve">13.  </w:t>
      </w:r>
      <w:r>
        <w:rPr>
          <w:rFonts w:ascii="Arial" w:cs="Arial" w:eastAsia="Arial" w:hAnsi="Arial"/>
          <w:b/>
          <w:bCs/>
          <w:color w:val="1F7A1F"/>
        </w:rPr>
        <w:t xml:space="preserve">D</w:t>
      </w:r>
      <w:r>
        <w:rPr>
          <w:rFonts w:ascii="Arial" w:cs="Arial" w:eastAsia="Arial" w:hAnsi="Arial"/>
        </w:rPr>
        <w:t xml:space="preserve">  — </w:t>
      </w:r>
      <w:r>
        <w:rPr>
          <w:rFonts w:ascii="Arial" w:cs="Arial" w:eastAsia="Arial" w:hAnsi="Arial"/>
        </w:rPr>
        <w:t xml:space="preserve">app shows ظلم as ubiquitous (top 1%); 290 ayahs.</w:t>
      </w:r>
    </w:p>
    <w:p>
      <w:pPr>
        <w:spacing w:after="30"/>
      </w:pPr>
      <w:r>
        <w:rPr>
          <w:rFonts w:ascii="Arial" w:cs="Arial" w:eastAsia="Arial" w:hAnsi="Arial"/>
          <w:b/>
          <w:bCs/>
        </w:rPr>
        <w:t xml:space="preserve">14.  </w:t>
      </w:r>
      <w:r>
        <w:rPr>
          <w:rFonts w:ascii="Arial" w:cs="Arial" w:eastAsia="Arial" w:hAnsi="Arial"/>
          <w:b/>
          <w:bCs/>
          <w:color w:val="1F7A1F"/>
        </w:rPr>
        <w:t xml:space="preserve">B</w:t>
      </w:r>
      <w:r>
        <w:rPr>
          <w:rFonts w:ascii="Arial" w:cs="Arial" w:eastAsia="Arial" w:hAnsi="Arial"/>
        </w:rPr>
        <w:t xml:space="preserve">  — </w:t>
      </w:r>
      <w:r>
        <w:rPr>
          <w:rFonts w:ascii="Arial" w:cs="Arial" w:eastAsia="Arial" w:hAnsi="Arial"/>
        </w:rPr>
        <w:t xml:space="preserve">هدي</w:t>
      </w:r>
      <w:r>
        <w:rPr>
          <w:rFonts w:ascii="Arial" w:cs="Arial" w:eastAsia="Arial" w:hAnsi="Arial"/>
        </w:rPr>
        <w:t xml:space="preserve"> 316 tokens / denser verses vs </w:t>
      </w:r>
      <w:r>
        <w:rPr>
          <w:rFonts w:ascii="Arial" w:cs="Arial" w:eastAsia="Arial" w:hAnsi="Arial"/>
        </w:rPr>
        <w:t xml:space="preserve">ظلم</w:t>
      </w:r>
      <w:r>
        <w:rPr>
          <w:rFonts w:ascii="Arial" w:cs="Arial" w:eastAsia="Arial" w:hAnsi="Arial"/>
        </w:rPr>
        <w:t xml:space="preserve"> 315 — the denominator flips the ranking.</w:t>
      </w:r>
    </w:p>
    <w:p>
      <w:pPr>
        <w:pStyle w:val="Heading1"/>
      </w:pPr>
      <w:r>
        <w:rPr>
          <w:rFonts w:ascii="Arial" w:cs="Arial" w:eastAsia="Arial" w:hAnsi="Arial"/>
        </w:rPr>
        <w:t xml:space="preserve">Grading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Best 8 of 10 weekly quizzes count toward the 20% quiz component.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Q5/Q12/Q13/Q14 are data-recall — they confirm the student used the app and worked example.</w:t>
      </w:r>
    </w:p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Quiz Answer Key (instructor)   •   Week 1   • 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line="240" w:lineRule="auto"/>
        <w:ind w:left="460" w:hanging="260"/>
      </w:pPr>
    </w:lvl>
    <w:lvl w:ilvl="1" w15:tentative="1">
      <w:start w:val="1"/>
      <w:numFmt w:val="bullet"/>
      <w:lvlText w:val="–"/>
      <w:lvlJc w:val="left"/>
      <w:pPr>
        <w:spacing w:after="30" w:line="240" w:lineRule="auto"/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line="240" w:lineRule="auto"/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8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Arial" w:cs="Arial" w:eastAsia="Arial" w:hAnsi="Arial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00" w:before="200" w:line="240" w:lineRule="auto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40" w:line="240" w:lineRule="auto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2026-05-29T00:39:15.260Z</dcterms:created>
  <dcterms:modified xsi:type="dcterms:W3CDTF">2026-05-29T00:39:15.260Z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