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Week 2 — Further Study &amp; Research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Optional extensions for the curious. Stay data-driven: normalize, then claim.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Extend the method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Take five roots and compare their per-AYAH home vs per-ROOT-TOKENS home — for how many do they disagree, and why?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Rank a set of roots by breadth, then by Gini — which roots are broad-but-even vs narrow-but-pooled?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For a rare root, find where the support floor first fails — how little data is too little?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Questions worth investigating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Does a root's size-true home surah match the surah's traditional theme — or surprise you?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Why does al-Baqara dominate raw counts for so many roots, and what does that say about reading by raw frequency?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Is a highly concentrated root (high Gini) more or less central than a spread one — or is concentration simply not importance?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Individual &amp; social relevance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Track one root that matters to you to its size-true home surah; read that surah and ask why the density peaks there.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A community can be read by where its key terms cluster — does concentration vs spread change how a theme is taught?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A caveat to hold lightly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0"/>
        </w:rPr>
        <w:t>Revelation order is an external, surah-coarse overlay — interesting to glance at, but it is indicative only and never a core claim in this course.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Read more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The Gini coefficient and the Lorenz curve (measuring inequality of a distribution).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Document-term matrices and per-document term density in corpus linguistics.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Why size normalization matters whenever you compare counts across containers of different sizes.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Week 2 — Further Study &amp; Research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