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2 — Worked Example: the home surah of ẓulm (ظلم)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Finding a root's size-true home by hand. The lesson: normalize by ROOT-TOKENS, not by ayah-count or raw hits.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0 — The naïve answer (and why it's wrong)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Ask “which surah is the home of ظلم?” and the tempting answer is al-Baqara — it contains ظلم in 27 ayahs, more than any other surah. But al-Baqara is the longest surah in the Qur'an (286 ayahs, 3,966 root-tokens), so it leads almost every root on raw count. Raw hits measure surah size as much as the root.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1 — Pick two candidate surahs (from the app's per-surah view)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Surah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ظلم tokens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surah root-tokens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al-Baqara (raw busiest)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31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3,966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Ibrahim (a dense one)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9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568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2 — Normalize each to per 1,000 ROOT-TOKENS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>prevalence = root-tokens in surah ÷ surah's total root-tokens × 1,000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al-Baqara:  31 ÷ 3,966 × 1,000 = 7.8 per 1,000 root-tokens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Ibrahim:  9 ÷ 568 × 1,000 = 15.8 per 1,000 root-tokens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Ibrahim is twice as dense in ظلم as al-Baqara — even though al-Baqara has three times as many raw hits. The raw count was a length illusion.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3 — Apply the support floor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A home is trusted only if the root occurs ≥ 3 times in the surah AND the surah has ≥ 30 root-tokens. Both candidates pass (Ibrahim: 9 tokens, 568 root-tokens). So the size-true home of ظلم is Ibrahim, at 15.8 per 1,000 root-tokens.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Why dividing by ayah-count is NOT enough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You might try “hits ÷ number of ayahs.” But ayahs vary in length too, so per-ayah density is still confounded. Example — ṣabr (صبر): its raw busiest surah is al-Baqara; per AYAH the leader is al-Kahf; per ROOT-TOKENS the home is at-Tur. Three different answers — only per-root-tokens is size-true.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Model two-sentence reading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Fact:  </w:t>
      </w:r>
      <w:r>
        <w:rPr>
          <w:rFonts w:ascii="Arial" w:hAnsi="Arial" w:cs="Arial" w:eastAsia="Arial"/>
          <w:b w:val="0"/>
          <w:sz w:val="22"/>
        </w:rPr>
        <w:t>“The size-true home of ظلم is Ibrahim (15.8 per 1,000 root-tokens); al-Baqara only leads on raw count because it is the longest surah.”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Interpretation:  </w:t>
      </w:r>
      <w:r>
        <w:rPr>
          <w:rFonts w:ascii="Arial" w:hAnsi="Arial" w:cs="Arial" w:eastAsia="Arial"/>
          <w:b w:val="0"/>
          <w:sz w:val="22"/>
        </w:rPr>
        <w:t>“I read ظلم as a whole-Qur'an concern that is most densely pressed in Ibrahim, not a topic owned by one long surah.”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Now you try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Take ṣabr (صبر). Given al-Baqara (9 tokens / 3,966) and at-Tur (3 tokens / 205), compute per-1,000-roots for each, apply the floor, and name the size-true home. Then write one fact + one labeled interpretation.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2 — Worked Example (ẓulm home surah)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