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3 — Using the App: Reading Forms &amp; Partners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A walkthrough on one root (ءمن). Figures are computed from Book6 — the same corpus the app analyzes — so your app screens will match them.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A — Surface forms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1.  Analyze the root and open its forms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Go to https://quranproject-quran-root-explorer.hf.space/ , type ءمن, click Analyze.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Open the Per-Root Profile and find the Surface forms view (donut or list).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mn_for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Surface forms of ءمن — 27 forms across 879 tokens; the verb آمن dominates at 41%.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2.  Read it by pattern family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Don't stop at the spellings — group them by pattern. The verb forms (آمن، يؤمن) are the act; the participle (مؤمن) is the agent; the masdar (إيمان) is the abstract act; and the intensive (أمين) is an attribute. For ءمن the verb family dominates — faith is most often an act.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79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mn_patter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79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ءمن by pattern family: 61% verb (an act), 26% participle, 5% masdar, 5% security.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Watch for polysemy:  </w:t>
      </w:r>
      <w:r>
        <w:rPr>
          <w:rFonts w:ascii="Arial" w:hAnsi="Arial" w:cs="Arial" w:eastAsia="Arial"/>
          <w:b w:val="0"/>
          <w:sz w:val="22"/>
        </w:rPr>
        <w:t>the same root branches into أمن (security) and أمين (trustworthy) — a second sense living in the forms.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B — Partners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>3.  Open the co-occurring roots / partners panel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The partners panel lists the roots that share ayahs with your root, already frequency/length-controlled (the mechanism is Weeks 4–5). Read the top of the 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1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mn_partn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52" w:lineRule="auto"/>
        <w:jc w:val="center"/>
      </w:pPr>
      <w:r>
        <w:rPr>
          <w:rFonts w:ascii="Arial" w:hAnsi="Arial" w:cs="Arial" w:eastAsia="Arial"/>
          <w:b w:val="0"/>
          <w:color w:val="555555"/>
          <w:sz w:val="17"/>
        </w:rPr>
        <w:t>Partners of ءمن (length-controlled): صلح (righteous deeds) and عمل (works) lead — faith travels with works.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Record the top three partners.</w:t>
      </w:r>
      <w:r>
        <w:rPr>
          <w:rFonts w:ascii="Arial" w:hAnsi="Arial" w:cs="Arial" w:eastAsia="Arial"/>
          <w:b w:val="0"/>
          <w:sz w:val="21"/>
        </w:rPr>
        <w:t xml:space="preserve"> For ءمن: صلح, عمل, then رسل / قلب.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Flag any ANTONYM.</w:t>
      </w:r>
      <w:r>
        <w:rPr>
          <w:rFonts w:ascii="Arial" w:hAnsi="Arial" w:cs="Arial" w:eastAsia="Arial"/>
          <w:b w:val="0"/>
          <w:sz w:val="21"/>
        </w:rPr>
        <w:t xml:space="preserve"> ءمن co-occurs heavily with كفر (disbelief) — opposites are defined together.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Part C — The cross-check rule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Every claim must be reproducible in the app and the Week-3 data bank.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Report one computed fact (a form share or a partner's significance) + one labeled interpretation.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3 — Using the App: Forms &amp; Partners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