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Further Study &amp; Research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Optional extensions for the curious. Stay data-driven: tally, then claim.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Extend the method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Compare the form distributions of two roots — which is verb-dominant (an act) and which is participle- or attribute-dominant?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Map the intensive (فعيل/فعّال) form of ten roots — how many function as Divine Names?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Find a root whose forms split by sense or valence (like ءمن or ك-ث-ر) — how does the form disambiguate?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Questions worth investigating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Does a root's dominant pattern (verb vs noun) track how the Qur'an frames the concept — as action or as essence?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Which roots are each other's mutual top partner (e.g. رحم↔غفر, سمع↔بصر), and what does that pairing express?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When is a significant partner meaningful, and when is it just two common roots sharing space?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more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Arabic root-and-pattern (templatic) morphology — the wazn system.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Active vs passive participle, masdar, and the intensive (مبالغة) patterns.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Collocation and distributional semantics — “a word is known by the company it keeps.”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Further Study &amp; Research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