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2" w:lineRule="auto"/>
      </w:pPr>
      <w:r>
        <w:rPr>
          <w:rFonts w:ascii="Arial" w:hAnsi="Arial" w:cs="Arial" w:eastAsia="Arial"/>
          <w:b/>
          <w:color w:val="1F4E79"/>
          <w:sz w:val="36"/>
        </w:rPr>
        <w:t>Week 3 — Instructor Lecture Script (Partners &amp; Forms)</w:t>
      </w:r>
    </w:p>
    <w:p>
      <w:pPr>
        <w:spacing w:after="160" w:before="0" w:line="252" w:lineRule="auto"/>
      </w:pPr>
      <w:r>
        <w:rPr>
          <w:rFonts w:ascii="Arial" w:hAnsi="Arial" w:cs="Arial" w:eastAsia="Arial"/>
          <w:b w:val="0"/>
          <w:color w:val="555555"/>
          <w:sz w:val="19"/>
        </w:rPr>
        <w:t>Spoken script, ~45 minutes, eight modules. New lenses: Arabic root-and-pattern morphology (a root's forms) and collocation (its partners). Worked root ءمن. Scope: forms in depth + partners descriptively; the co-occurrence MEASURE and lift/null/tiers are Weeks 4–5. ▸ lines are delivery cues. Every value computed from Book6.</w:t>
      </w:r>
    </w:p>
    <w:p>
      <w:pPr>
        <w:spacing w:after="60" w:before="200" w:line="252" w:lineRule="auto"/>
      </w:pPr>
      <w:r>
        <w:rPr>
          <w:rFonts w:ascii="Arial" w:hAnsi="Arial" w:cs="Arial" w:eastAsia="Arial"/>
          <w:b/>
          <w:color w:val="1F4E79"/>
          <w:sz w:val="24"/>
        </w:rPr>
        <w:t xml:space="preserve">0:00  </w:t>
      </w:r>
      <w:r>
        <w:rPr>
          <w:rFonts w:ascii="Arial" w:hAnsi="Arial" w:cs="Arial" w:eastAsia="Arial"/>
          <w:b/>
          <w:color w:val="1F4E79"/>
          <w:sz w:val="24"/>
        </w:rPr>
        <w:t>Module 1 · The root-and-pattern system</w:t>
      </w:r>
    </w:p>
    <w:p>
      <w:pPr>
        <w:spacing w:after="60" w:before="0" w:line="252" w:lineRule="auto"/>
      </w:pPr>
      <w:r>
        <w:rPr>
          <w:rFonts w:ascii="Arial" w:hAnsi="Arial" w:cs="Arial" w:eastAsia="Arial"/>
          <w:b w:val="0"/>
          <w:color w:val="8A4B08"/>
          <w:sz w:val="19"/>
        </w:rPr>
        <w:t>▸ Slides 1–3.</w:t>
      </w:r>
    </w:p>
    <w:p>
      <w:pPr>
        <w:spacing w:after="100" w:before="0" w:line="252" w:lineRule="auto"/>
      </w:pPr>
      <w:r>
        <w:rPr>
          <w:rFonts w:ascii="Arial" w:hAnsi="Arial" w:cs="Arial" w:eastAsia="Arial"/>
          <w:b w:val="0"/>
          <w:sz w:val="22"/>
        </w:rPr>
        <w:t>For two weeks we counted roots. To count them, we did something violent: we threw away every word's shape and kept only its three consonants. Today we pick those shapes back up, because they carry meaning we discarded. Here is the idea. Arabic is built like a jewelry workshop: the root — three consonants — is the raw metal, and the pattern, the wazn, is the mould you press it into. Pour the root ك-ت-ب into the mould of “the doer” and you get كاتب, a writer. Pour the same metal into “the thing done” and you get مكتوب, written. Into the mould for an object you get كِتاب, a book; into a verb, يكتب, he writes; and into a passive past, كُتِب, it was decreed. One root, six different words, because the pattern, not the root, assigns the grammatical job. So you cannot read a word's force from its bare root — you have to read the mould it was poured into. That means a root's forms are not noise; they are a distribution worth reading.</w:t>
      </w:r>
    </w:p>
    <w:p>
      <w:pPr>
        <w:spacing w:after="60" w:before="200" w:line="252" w:lineRule="auto"/>
      </w:pPr>
      <w:r>
        <w:rPr>
          <w:rFonts w:ascii="Arial" w:hAnsi="Arial" w:cs="Arial" w:eastAsia="Arial"/>
          <w:b/>
          <w:color w:val="1F4E79"/>
          <w:sz w:val="24"/>
        </w:rPr>
        <w:t xml:space="preserve">6:00  </w:t>
      </w:r>
      <w:r>
        <w:rPr>
          <w:rFonts w:ascii="Arial" w:hAnsi="Arial" w:cs="Arial" w:eastAsia="Arial"/>
          <w:b/>
          <w:color w:val="1F4E79"/>
          <w:sz w:val="24"/>
        </w:rPr>
        <w:t>Module 2 · Reading a form distribution</w:t>
      </w:r>
    </w:p>
    <w:p>
      <w:pPr>
        <w:spacing w:after="60" w:before="0" w:line="252" w:lineRule="auto"/>
      </w:pPr>
      <w:r>
        <w:rPr>
          <w:rFonts w:ascii="Arial" w:hAnsi="Arial" w:cs="Arial" w:eastAsia="Arial"/>
          <w:b w:val="0"/>
          <w:color w:val="8A4B08"/>
          <w:sz w:val="19"/>
        </w:rPr>
        <w:t>▸ Slide 4 — the ءمن donut.</w:t>
      </w:r>
    </w:p>
    <w:p>
      <w:pPr>
        <w:spacing w:after="100" w:before="0" w:line="252" w:lineRule="auto"/>
      </w:pPr>
      <w:r>
        <w:rPr>
          <w:rFonts w:ascii="Arial" w:hAnsi="Arial" w:cs="Arial" w:eastAsia="Arial"/>
          <w:b w:val="0"/>
          <w:sz w:val="22"/>
        </w:rPr>
        <w:t>Take our worked root, ء-م-ن, to believe. It shows up in 879 tokens wearing 27 different forms. Tally them and a clear profile emerges: the most common form, at 41%, is آمن — a verb, “he believed.” Next, مؤمنين, “believers,” the participle, at about 16%; then يؤمن, the present-tense verb, also 16%; and only at 4% the abstract noun إيمان, “faith.” The point is that a root is not spread evenly across its forms — one or two faces carry most of the weight. So before you ever say what a root “means,” read which face it most often wears.</w:t>
      </w:r>
    </w:p>
    <w:p>
      <w:pPr>
        <w:spacing w:after="60" w:before="200" w:line="252" w:lineRule="auto"/>
      </w:pPr>
      <w:r>
        <w:rPr>
          <w:rFonts w:ascii="Arial" w:hAnsi="Arial" w:cs="Arial" w:eastAsia="Arial"/>
          <w:b/>
          <w:color w:val="1F4E79"/>
          <w:sz w:val="24"/>
        </w:rPr>
        <w:t xml:space="preserve">12:00  </w:t>
      </w:r>
      <w:r>
        <w:rPr>
          <w:rFonts w:ascii="Arial" w:hAnsi="Arial" w:cs="Arial" w:eastAsia="Arial"/>
          <w:b/>
          <w:color w:val="1F4E79"/>
          <w:sz w:val="24"/>
        </w:rPr>
        <w:t>Module 3 · Pattern families &amp; the unlearn</w:t>
      </w:r>
    </w:p>
    <w:p>
      <w:pPr>
        <w:spacing w:after="60" w:before="0" w:line="252" w:lineRule="auto"/>
      </w:pPr>
      <w:r>
        <w:rPr>
          <w:rFonts w:ascii="Arial" w:hAnsi="Arial" w:cs="Arial" w:eastAsia="Arial"/>
          <w:b w:val="0"/>
          <w:color w:val="8A4B08"/>
          <w:sz w:val="19"/>
        </w:rPr>
        <w:t>▸ Slide 5 — pattern families.</w:t>
      </w:r>
    </w:p>
    <w:p>
      <w:pPr>
        <w:spacing w:after="100" w:before="0" w:line="252" w:lineRule="auto"/>
      </w:pPr>
      <w:r>
        <w:rPr>
          <w:rFonts w:ascii="Arial" w:hAnsi="Arial" w:cs="Arial" w:eastAsia="Arial"/>
          <w:b w:val="0"/>
          <w:sz w:val="22"/>
        </w:rPr>
        <w:t>Now group those forms into families, because the family — the pattern — is where the grammar lives. Collapse ءمن's forms and you get: verb forms, the act, 61%; the active participle, the believer, 26%; the masdar, abstract faith, 5%; and a fourth small branch, security, 5%. Look at that shape, because the shape is an argument. Faith, in the Qur'an, is overwhelmingly a verb — something you DO — far more than the tidy abstract noun إيمان that we reach for in English. The grammar is carrying the theology: belief is an act before it is a possession. That is today's first unlearn — and it's the kind of claim you could never see at the root layer, only by reopening the forms.</w:t>
      </w:r>
    </w:p>
    <w:p>
      <w:pPr>
        <w:spacing w:after="60" w:before="200" w:line="252" w:lineRule="auto"/>
      </w:pPr>
      <w:r>
        <w:rPr>
          <w:rFonts w:ascii="Arial" w:hAnsi="Arial" w:cs="Arial" w:eastAsia="Arial"/>
          <w:b/>
          <w:color w:val="1F4E79"/>
          <w:sz w:val="24"/>
        </w:rPr>
        <w:t xml:space="preserve">19:00  </w:t>
      </w:r>
      <w:r>
        <w:rPr>
          <w:rFonts w:ascii="Arial" w:hAnsi="Arial" w:cs="Arial" w:eastAsia="Arial"/>
          <w:b/>
          <w:color w:val="1F4E79"/>
          <w:sz w:val="24"/>
        </w:rPr>
        <w:t>Module 4 · The intensive forms &amp; the Divine Names</w:t>
      </w:r>
    </w:p>
    <w:p>
      <w:pPr>
        <w:spacing w:after="60" w:before="0" w:line="252" w:lineRule="auto"/>
      </w:pPr>
      <w:r>
        <w:rPr>
          <w:rFonts w:ascii="Arial" w:hAnsi="Arial" w:cs="Arial" w:eastAsia="Arial"/>
          <w:b w:val="0"/>
          <w:color w:val="8A4B08"/>
          <w:sz w:val="19"/>
        </w:rPr>
        <w:t>▸ Slide 6 — Divine Names.</w:t>
      </w:r>
    </w:p>
    <w:p>
      <w:pPr>
        <w:spacing w:after="100" w:before="0" w:line="252" w:lineRule="auto"/>
      </w:pPr>
      <w:r>
        <w:rPr>
          <w:rFonts w:ascii="Arial" w:hAnsi="Arial" w:cs="Arial" w:eastAsia="Arial"/>
          <w:b w:val="0"/>
          <w:sz w:val="22"/>
        </w:rPr>
        <w:t>One pattern family deserves a moment of its own. Arabic has an intensive mould — فعيل or فعّال — that takes a quality and turns it up to its highest degree. Pour mercy into it and you get رحيم. Hearing becomes سميع; seeing becomes بصير; forgiveness becomes غفور; wisdom becomes حكيم. Notice what just happened: those are Names of God. Many of the Divine Names are not separate, specially-coined words — they are the SAME intensive mould pressed over different roots. The grammar marks the divine attributes as intensives. When you learn to see the pattern, the Names of God line up as a family.</w:t>
      </w:r>
    </w:p>
    <w:p>
      <w:pPr>
        <w:spacing w:after="60" w:before="200" w:line="252" w:lineRule="auto"/>
      </w:pPr>
      <w:r>
        <w:rPr>
          <w:rFonts w:ascii="Arial" w:hAnsi="Arial" w:cs="Arial" w:eastAsia="Arial"/>
          <w:b/>
          <w:color w:val="1F4E79"/>
          <w:sz w:val="24"/>
        </w:rPr>
        <w:t xml:space="preserve">26:00  </w:t>
      </w:r>
      <w:r>
        <w:rPr>
          <w:rFonts w:ascii="Arial" w:hAnsi="Arial" w:cs="Arial" w:eastAsia="Arial"/>
          <w:b/>
          <w:color w:val="1F4E79"/>
          <w:sz w:val="24"/>
        </w:rPr>
        <w:t>Module 5 · Polysemy, and the كثر example</w:t>
      </w:r>
    </w:p>
    <w:p>
      <w:pPr>
        <w:spacing w:after="60" w:before="0" w:line="252" w:lineRule="auto"/>
      </w:pPr>
      <w:r>
        <w:rPr>
          <w:rFonts w:ascii="Arial" w:hAnsi="Arial" w:cs="Arial" w:eastAsia="Arial"/>
          <w:b w:val="0"/>
          <w:color w:val="8A4B08"/>
          <w:sz w:val="19"/>
        </w:rPr>
        <w:t>▸ Slide 7 — polysemy.</w:t>
      </w:r>
    </w:p>
    <w:p>
      <w:pPr>
        <w:spacing w:after="100" w:before="0" w:line="252" w:lineRule="auto"/>
      </w:pPr>
      <w:r>
        <w:rPr>
          <w:rFonts w:ascii="Arial" w:hAnsi="Arial" w:cs="Arial" w:eastAsia="Arial"/>
          <w:b w:val="0"/>
          <w:sz w:val="22"/>
        </w:rPr>
        <w:t>Patterns also explain how one root can mean two things. Sometimes a root splits by sense. ء-م-ن gives us faith — إيمان — but also أمن, security, and أمين, trustworthy: to believe, to be safe, to be relied upon, all one family. ك-ت-ب gives كِتاب, a book, but also كُتِب, “it was decreed.” And then there is the deepest case, the one a member pointed me to: the root ك-ث-ر, simply “to be many,” abundance. Press it one way and you get كوثر — al-Kawthar, the river of blessed abundance given to the Prophet, surah 108. Press the same root another way and you get تكاثر — at-Takāthur, surah 102, the blameworthy rivalry of piling up wealth and children that, the Qur'an says, distracts you until you reach the graves. Same neutral root — muchness — pulled to opposite moral poles: praise and blame, decided by the mould and the context. The root layer of Week 1 would have counted كوثر and تكاثر as the same thing. The forms tell them apart.</w:t>
      </w:r>
    </w:p>
    <w:p>
      <w:pPr>
        <w:spacing w:after="60" w:before="200" w:line="252" w:lineRule="auto"/>
      </w:pPr>
      <w:r>
        <w:rPr>
          <w:rFonts w:ascii="Arial" w:hAnsi="Arial" w:cs="Arial" w:eastAsia="Arial"/>
          <w:b/>
          <w:color w:val="1F4E79"/>
          <w:sz w:val="24"/>
        </w:rPr>
        <w:t xml:space="preserve">32:00  </w:t>
      </w:r>
      <w:r>
        <w:rPr>
          <w:rFonts w:ascii="Arial" w:hAnsi="Arial" w:cs="Arial" w:eastAsia="Arial"/>
          <w:b/>
          <w:color w:val="1F4E79"/>
          <w:sz w:val="24"/>
        </w:rPr>
        <w:t>Module 6 · Partners — the external company</w:t>
      </w:r>
    </w:p>
    <w:p>
      <w:pPr>
        <w:spacing w:after="60" w:before="0" w:line="252" w:lineRule="auto"/>
      </w:pPr>
      <w:r>
        <w:rPr>
          <w:rFonts w:ascii="Arial" w:hAnsi="Arial" w:cs="Arial" w:eastAsia="Arial"/>
          <w:b w:val="0"/>
          <w:color w:val="8A4B08"/>
          <w:sz w:val="19"/>
        </w:rPr>
        <w:t>▸ Slide 8 (richness), Slide 9 (partners).</w:t>
      </w:r>
    </w:p>
    <w:p>
      <w:pPr>
        <w:spacing w:after="100" w:before="0" w:line="252" w:lineRule="auto"/>
      </w:pPr>
      <w:r>
        <w:rPr>
          <w:rFonts w:ascii="Arial" w:hAnsi="Arial" w:cs="Arial" w:eastAsia="Arial"/>
          <w:b w:val="0"/>
          <w:sz w:val="22"/>
        </w:rPr>
        <w:t>So much for a root's company on the inside. Now the company it keeps on the outside. A partner is a root that shows up in the same ayah as your root more often than chance would predict — its collocations. The old linguist's line is exactly right: you shall know a word by the company it keeps. Read ءمن's partners and the strongest, by a wide margin, is صلح — righteous deeds; then عمل, works. Faith is almost never named alone in the Qur'an; it walks arm in arm with action — آمنوا وعملوا الصالحات, “those who believe and do righteous deeds.” That collocation is one of the most repeated phrases in the whole book, and the partner list surfaces it as a number. One caution I'll flag and then defer: the app's list is already controlled for length and frequency, so a generic, very common root doesn't show up as everyone's partner by accident. HOW that control works is Weeks 4 and 5 — today we just read the cleaned list.</w:t>
      </w:r>
    </w:p>
    <w:p>
      <w:pPr>
        <w:spacing w:after="60" w:before="200" w:line="252" w:lineRule="auto"/>
      </w:pPr>
      <w:r>
        <w:rPr>
          <w:rFonts w:ascii="Arial" w:hAnsi="Arial" w:cs="Arial" w:eastAsia="Arial"/>
          <w:b/>
          <w:color w:val="1F4E79"/>
          <w:sz w:val="24"/>
        </w:rPr>
        <w:t xml:space="preserve">38:00  </w:t>
      </w:r>
      <w:r>
        <w:rPr>
          <w:rFonts w:ascii="Arial" w:hAnsi="Arial" w:cs="Arial" w:eastAsia="Arial"/>
          <w:b/>
          <w:color w:val="1F4E79"/>
          <w:sz w:val="24"/>
        </w:rPr>
        <w:t>Module 7 · Reading partners honestly — antonyms</w:t>
      </w:r>
    </w:p>
    <w:p>
      <w:pPr>
        <w:spacing w:after="60" w:before="0" w:line="252" w:lineRule="auto"/>
      </w:pPr>
      <w:r>
        <w:rPr>
          <w:rFonts w:ascii="Arial" w:hAnsi="Arial" w:cs="Arial" w:eastAsia="Arial"/>
          <w:b w:val="0"/>
          <w:color w:val="8A4B08"/>
          <w:sz w:val="19"/>
        </w:rPr>
        <w:t>▸ Slide 10 (antonyms), Slide 11 (mutual partners).</w:t>
      </w:r>
    </w:p>
    <w:p>
      <w:pPr>
        <w:spacing w:after="100" w:before="0" w:line="252" w:lineRule="auto"/>
      </w:pPr>
      <w:r>
        <w:rPr>
          <w:rFonts w:ascii="Arial" w:hAnsi="Arial" w:cs="Arial" w:eastAsia="Arial"/>
          <w:b w:val="0"/>
          <w:sz w:val="22"/>
        </w:rPr>
        <w:t>Reading a partner list honestly means holding three cautions. First: significant is not the same as meaningful — two common roots can share space without any real bond. Second: the list is controlled, but it is still association, not direction and not cause. And third, the surprising one: a partner can be an ANTONYM. ء-م-ن's close company includes كفر — disbelief — 126 shared ayahs. They are partners precisely because the Qur'an is forever setting them against each other; opposites are defined together. You'll see the same with هدي and ضلل, guidance and going-astray, and with ذكر and نسي, remembering and forgetting. And sometimes two roots are each other's strongest partner — a mutual bond: mercy and forgiveness, رحم and غفر; hearing and seeing, سمع and بصر, the All-Hearing and the All-Seeing; might and wisdom, عزز and حكم. When two concepts name each other, the text is telling you they are habitually spoken in one breath. So treat a partner as a lead to follow, never a verdict.</w:t>
      </w:r>
    </w:p>
    <w:p>
      <w:pPr>
        <w:spacing w:after="60" w:before="200" w:line="252" w:lineRule="auto"/>
      </w:pPr>
      <w:r>
        <w:rPr>
          <w:rFonts w:ascii="Arial" w:hAnsi="Arial" w:cs="Arial" w:eastAsia="Arial"/>
          <w:b/>
          <w:color w:val="1F4E79"/>
          <w:sz w:val="24"/>
        </w:rPr>
        <w:t xml:space="preserve">43:00  </w:t>
      </w:r>
      <w:r>
        <w:rPr>
          <w:rFonts w:ascii="Arial" w:hAnsi="Arial" w:cs="Arial" w:eastAsia="Arial"/>
          <w:b/>
          <w:color w:val="1F4E79"/>
          <w:sz w:val="24"/>
        </w:rPr>
        <w:t>Module 8 · Fact vs interpretation, wrap &amp; bridge</w:t>
      </w:r>
    </w:p>
    <w:p>
      <w:pPr>
        <w:spacing w:after="60" w:before="0" w:line="252" w:lineRule="auto"/>
      </w:pPr>
      <w:r>
        <w:rPr>
          <w:rFonts w:ascii="Arial" w:hAnsi="Arial" w:cs="Arial" w:eastAsia="Arial"/>
          <w:b w:val="0"/>
          <w:color w:val="8A4B08"/>
          <w:sz w:val="19"/>
        </w:rPr>
        <w:t>▸ Slides 12–15.</w:t>
      </w:r>
    </w:p>
    <w:p>
      <w:pPr>
        <w:spacing w:after="100" w:before="0" w:line="252" w:lineRule="auto"/>
      </w:pPr>
      <w:r>
        <w:rPr>
          <w:rFonts w:ascii="Arial" w:hAnsi="Arial" w:cs="Arial" w:eastAsia="Arial"/>
          <w:b w:val="0"/>
          <w:sz w:val="22"/>
        </w:rPr>
        <w:t>Let me model the discipline. Fact: 61% of ء-م-ن's tokens are verb forms, and its strongest partner is صلح, at a significance of z equals 14. Interpretation, clearly labeled: I read faith here as an enacted commitment, bound to righteous works, rather than an abstract belief. One sentence the computer could check; one sentence that is my reading. For the exercise: take your assigned root, tally its forms by hand and name the dominant pattern family, then in the app read its partners and record the top three, flagging any antonym — one fact and one labeled interpretation for each, submitted the night before class. To close: the root tells you WHAT; the pattern tells you HOW; the partners tell you WHO WITH. Forms are the company inside a word, partners the company around it — both computed, both needing a careful reading. Next week we turn the partners idea into a measure: which root shares the MOST ayahs with a target, and why the raw count will try to fool us. See you then.</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Week 3 — Instructor Script (v1) · page </w:t>
    </w:r>
    <w: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