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14 total. Values reproducible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B  </w:t>
      </w:r>
      <w:r>
        <w:rPr>
          <w:rFonts w:ascii="Arial" w:hAnsi="Arial" w:cs="Arial" w:eastAsia="Arial"/>
          <w:b w:val="0"/>
          <w:sz w:val="20"/>
        </w:rPr>
        <w:t>— the pattern carries the grammatical role; the root carries core meaning.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— فاعل→writer (agent), مفعول→written (object), فِعال→a book.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B  </w:t>
      </w:r>
      <w:r>
        <w:rPr>
          <w:rFonts w:ascii="Arial" w:hAnsi="Arial" w:cs="Arial" w:eastAsia="Arial"/>
          <w:b w:val="0"/>
          <w:sz w:val="20"/>
        </w:rPr>
        <w:t>— the top form آمن is a verb — faith is most often an act.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B  </w:t>
      </w:r>
      <w:r>
        <w:rPr>
          <w:rFonts w:ascii="Arial" w:hAnsi="Arial" w:cs="Arial" w:eastAsia="Arial"/>
          <w:b w:val="0"/>
          <w:sz w:val="20"/>
        </w:rPr>
        <w:t>— a masdar names the abstract act itself (إيمان = faith).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B  </w:t>
      </w:r>
      <w:r>
        <w:rPr>
          <w:rFonts w:ascii="Arial" w:hAnsi="Arial" w:cs="Arial" w:eastAsia="Arial"/>
          <w:b w:val="0"/>
          <w:sz w:val="20"/>
        </w:rPr>
        <w:t>— the active participle (فاعل) names the agent/doer (مؤمن = believer).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C  </w:t>
      </w:r>
      <w:r>
        <w:rPr>
          <w:rFonts w:ascii="Arial" w:hAnsi="Arial" w:cs="Arial" w:eastAsia="Arial"/>
          <w:b w:val="0"/>
          <w:sz w:val="20"/>
        </w:rPr>
        <w:t>— رحيم/سميع/بصير/غفور are intensive adjectives (فعيل/فعّال) — the Divine-Name pattern.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— أمن carries the “security/safety” sense of the root.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B  </w:t>
      </w:r>
      <w:r>
        <w:rPr>
          <w:rFonts w:ascii="Arial" w:hAnsi="Arial" w:cs="Arial" w:eastAsia="Arial"/>
          <w:b w:val="0"/>
          <w:sz w:val="20"/>
        </w:rPr>
        <w:t>— same root ك-ث-ر, opposite moral valence: كوثر praise vs تكاثر blame.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B  </w:t>
      </w:r>
      <w:r>
        <w:rPr>
          <w:rFonts w:ascii="Arial" w:hAnsi="Arial" w:cs="Arial" w:eastAsia="Arial"/>
          <w:b w:val="0"/>
          <w:sz w:val="20"/>
        </w:rPr>
        <w:t>— partners co-occur in the same ayah more often than chance.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— length/frequency control stops ubiquitous roots from appearing as spurious partners.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B  </w:t>
      </w:r>
      <w:r>
        <w:rPr>
          <w:rFonts w:ascii="Arial" w:hAnsi="Arial" w:cs="Arial" w:eastAsia="Arial"/>
          <w:b w:val="0"/>
          <w:sz w:val="20"/>
        </w:rPr>
        <w:t>— صلح (righteous deeds) — faith travels with works (آمنوا وعملوا الصالحات).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B  </w:t>
      </w:r>
      <w:r>
        <w:rPr>
          <w:rFonts w:ascii="Arial" w:hAnsi="Arial" w:cs="Arial" w:eastAsia="Arial"/>
          <w:b w:val="0"/>
          <w:sz w:val="20"/>
        </w:rPr>
        <w:t>— antonyms can be close partners — opposites are defined together.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B  </w:t>
      </w:r>
      <w:r>
        <w:rPr>
          <w:rFonts w:ascii="Arial" w:hAnsi="Arial" w:cs="Arial" w:eastAsia="Arial"/>
          <w:b w:val="0"/>
          <w:sz w:val="20"/>
        </w:rPr>
        <w:t>— significance is not meaning, alignment, or cause.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14.  B  </w:t>
      </w:r>
      <w:r>
        <w:rPr>
          <w:rFonts w:ascii="Arial" w:hAnsi="Arial" w:cs="Arial" w:eastAsia="Arial"/>
          <w:b w:val="0"/>
          <w:sz w:val="20"/>
        </w:rPr>
        <w:t>— many forms = a root deployed across many grammatical roles.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Best 8 of 10 weekly quizzes count toward the 20% quiz component.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Q3/Q6/Q8/Q12 are the conceptual anchors (faith-as-verb, the Divine-Name pattern, valence polysemy, antonyms-as-partners).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