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Exercise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Book6. ratio = observed ÷ expected (freq·freq/6236).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Target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raw winner (joint)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controlled winner (× chance)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the bond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صلو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قوم (52)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زكو (×34.6)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prayer &amp; charity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زكو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ءتي (29)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صلو (×34.6)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charity &amp; prayer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كيل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وفي (8)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وزن (×137.1)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measure &amp; weight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جنن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قول (52)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عدن (×31.8)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paradise &amp; Eden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حسب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(51)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سرع (×23.9)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swift reckoning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نفق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(61)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رزق (×10.6)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spend from provision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يتم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(10)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سكن (×33.3)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orphan &amp; needy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عهد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(19)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نقض (×96.2)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covenant &amp; breaking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سجد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(34)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ركع (×46.2)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prostrate &amp; bow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نهر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جري (45)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تحت (×48.9)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rivers beneath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شفع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(10)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نفع (×24.5)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intercession &amp; benefit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قرض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(7)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حسن (×30.2)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goodly loan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Teaching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In 11 of 12 cases the raw winner is a generic frequent root (ءله / قول / قوم / جري) — the frequency confound in action.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Full credit for a correct ratio table, the named controlled winner, and a reading that keeps fact and interpretation separate.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Common error: reporting the raw winner — dock the control point.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Exercise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