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3A5C"/>
          <w:sz w:val="36"/>
        </w:rPr>
        <w:t>Geldium Delinquency Risk: Business Report</w:t>
      </w:r>
    </w:p>
    <w:p>
      <w:pPr>
        <w:spacing w:after="160"/>
        <w:jc w:val="center"/>
      </w:pPr>
      <w:r>
        <w:rPr>
          <w:i/>
          <w:color w:val="666666"/>
          <w:sz w:val="20"/>
        </w:rPr>
        <w:t>Prepared for the Head of Collections | Tata iQ Analytics Team | March 2026</w:t>
      </w:r>
    </w:p>
    <w:p>
      <w:pPr>
        <w:pStyle w:val="Heading1"/>
      </w:pPr>
      <w:r>
        <w:rPr>
          <w:color w:val="1B3A5C"/>
          <w:sz w:val="28"/>
        </w:rPr>
        <w:t>1. Summary of Predictive Insights</w:t>
      </w:r>
    </w:p>
    <w:p>
      <w:pPr>
        <w:spacing w:after="120" w:before="20"/>
      </w:pPr>
      <w:r>
        <w:rPr>
          <w:b w:val="0"/>
          <w:i w:val="0"/>
          <w:sz w:val="21"/>
        </w:rPr>
        <w:t>Our analytics team analyzed 500 Geldium customer records across 19 variables — including demographics, financials, credit behavior, and 6-month payment history — to identify which customers are most likely to become delinquent. A Gradient Boosting model was developed and validated using 5-fold cross-validation, achieving an AUC-ROC of 0.93 on training data. Below are the key findings.</w:t>
      </w:r>
    </w:p>
    <w:p>
      <w:pPr>
        <w:spacing w:after="40" w:before="20"/>
      </w:pPr>
      <w:r>
        <w:rPr>
          <w:b/>
          <w:i w:val="0"/>
          <w:sz w:val="21"/>
        </w:rPr>
        <w:t>Top 3 Risk Factors</w:t>
      </w:r>
    </w:p>
    <w:p>
      <w:pPr>
        <w:pStyle w:val="ListBullet"/>
        <w:spacing w:after="40" w:before="0"/>
      </w:pPr>
      <w:r>
        <w:rPr>
          <w:b/>
          <w:sz w:val="21"/>
        </w:rPr>
        <w:t>Payment Behavior Pattern:</w:t>
      </w:r>
      <w:r>
        <w:rPr>
          <w:sz w:val="21"/>
        </w:rPr>
        <w:t xml:space="preserve"> Customers with high average payment severity scores (frequent Late or Missed payments across Months 1–6) are the single strongest predictor of delinquency. This engineered feature (Avg_Payment_Severity) ranked #1 in model importance at 12.3%.</w:t>
      </w:r>
    </w:p>
    <w:p>
      <w:pPr>
        <w:pStyle w:val="ListBullet"/>
        <w:spacing w:after="40" w:before="0"/>
      </w:pPr>
      <w:r>
        <w:rPr>
          <w:b/>
          <w:sz w:val="21"/>
        </w:rPr>
        <w:t>Credit Utilization:</w:t>
      </w:r>
      <w:r>
        <w:rPr>
          <w:sz w:val="21"/>
        </w:rPr>
        <w:t xml:space="preserve"> High credit utilization (Credit_Utilization approaching or exceeding 100%) signals financial strain and ranked as the top traditional financial predictor. Delinquent customers average 51% utilization vs. 49% for non-delinquent.</w:t>
      </w:r>
    </w:p>
    <w:p>
      <w:pPr>
        <w:pStyle w:val="ListBullet"/>
        <w:spacing w:after="120" w:before="0"/>
      </w:pPr>
      <w:r>
        <w:rPr>
          <w:b/>
          <w:sz w:val="21"/>
        </w:rPr>
        <w:t>Missing Loan Balance (Behavioral Signal):</w:t>
      </w:r>
      <w:r>
        <w:rPr>
          <w:sz w:val="21"/>
        </w:rPr>
        <w:t xml:space="preserve"> Customers with missing Loan Balance data show a 24.1% delinquency rate compared to 15.5% for those with complete records. The missingness itself acts as a behavioral risk indicator — possibly reflecting disengaged or financially distressed customers.</w:t>
      </w:r>
    </w:p>
    <w:p>
      <w:pPr>
        <w:spacing w:after="40" w:before="20"/>
      </w:pPr>
      <w:r>
        <w:rPr>
          <w:b/>
          <w:i w:val="0"/>
          <w:sz w:val="21"/>
        </w:rPr>
        <w:t>High-Risk Customer Segments</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spacing w:before="40" w:after="40"/>
            </w:pPr>
            <w:r>
              <w:rPr>
                <w:rFonts w:ascii="Calibri" w:hAnsi="Calibri"/>
                <w:b/>
                <w:sz w:val="19"/>
              </w:rPr>
              <w:t>Customer Segment</w:t>
            </w:r>
          </w:p>
        </w:tc>
        <w:tc>
          <w:tcPr>
            <w:tcW w:type="dxa" w:w="3324"/>
          </w:tcPr>
          <w:p>
            <w:pPr>
              <w:spacing w:before="40" w:after="40"/>
            </w:pPr>
            <w:r>
              <w:rPr>
                <w:rFonts w:ascii="Calibri" w:hAnsi="Calibri"/>
                <w:b/>
                <w:sz w:val="19"/>
              </w:rPr>
              <w:t>Delinquency Rate</w:t>
            </w:r>
          </w:p>
        </w:tc>
        <w:tc>
          <w:tcPr>
            <w:tcW w:type="dxa" w:w="3324"/>
          </w:tcPr>
          <w:p>
            <w:pPr>
              <w:spacing w:before="40" w:after="40"/>
            </w:pPr>
            <w:r>
              <w:rPr>
                <w:rFonts w:ascii="Calibri" w:hAnsi="Calibri"/>
                <w:b/>
                <w:sz w:val="19"/>
              </w:rPr>
              <w:t>Insight</w:t>
            </w:r>
          </w:p>
        </w:tc>
      </w:tr>
      <w:tr>
        <w:tc>
          <w:tcPr>
            <w:tcW w:type="dxa" w:w="3324"/>
          </w:tcPr>
          <w:p>
            <w:pPr>
              <w:spacing w:before="40" w:after="40"/>
            </w:pPr>
            <w:r>
              <w:rPr>
                <w:rFonts w:ascii="Calibri" w:hAnsi="Calibri"/>
                <w:sz w:val="19"/>
              </w:rPr>
              <w:t>Business Credit Card Holders</w:t>
            </w:r>
          </w:p>
        </w:tc>
        <w:tc>
          <w:tcPr>
            <w:tcW w:type="dxa" w:w="3324"/>
          </w:tcPr>
          <w:p>
            <w:pPr>
              <w:spacing w:before="40" w:after="40"/>
            </w:pPr>
            <w:r>
              <w:rPr>
                <w:rFonts w:ascii="Calibri" w:hAnsi="Calibri"/>
                <w:sz w:val="19"/>
              </w:rPr>
              <w:t>21.3%</w:t>
            </w:r>
          </w:p>
        </w:tc>
        <w:tc>
          <w:tcPr>
            <w:tcW w:type="dxa" w:w="3324"/>
          </w:tcPr>
          <w:p>
            <w:pPr>
              <w:spacing w:before="40" w:after="40"/>
            </w:pPr>
            <w:r>
              <w:rPr>
                <w:rFonts w:ascii="Calibri" w:hAnsi="Calibri"/>
                <w:sz w:val="19"/>
              </w:rPr>
              <w:t>Highest among all card types — business cash flow volatility</w:t>
            </w:r>
          </w:p>
        </w:tc>
      </w:tr>
      <w:tr>
        <w:tc>
          <w:tcPr>
            <w:tcW w:type="dxa" w:w="3324"/>
          </w:tcPr>
          <w:p>
            <w:pPr>
              <w:spacing w:before="40" w:after="40"/>
            </w:pPr>
            <w:r>
              <w:rPr>
                <w:rFonts w:ascii="Calibri" w:hAnsi="Calibri"/>
                <w:sz w:val="19"/>
              </w:rPr>
              <w:t>Unemployed Customers</w:t>
            </w:r>
          </w:p>
        </w:tc>
        <w:tc>
          <w:tcPr>
            <w:tcW w:type="dxa" w:w="3324"/>
          </w:tcPr>
          <w:p>
            <w:pPr>
              <w:spacing w:before="40" w:after="40"/>
            </w:pPr>
            <w:r>
              <w:rPr>
                <w:rFonts w:ascii="Calibri" w:hAnsi="Calibri"/>
                <w:sz w:val="19"/>
              </w:rPr>
              <w:t>19.4%</w:t>
            </w:r>
          </w:p>
        </w:tc>
        <w:tc>
          <w:tcPr>
            <w:tcW w:type="dxa" w:w="3324"/>
          </w:tcPr>
          <w:p>
            <w:pPr>
              <w:spacing w:before="40" w:after="40"/>
            </w:pPr>
            <w:r>
              <w:rPr>
                <w:rFonts w:ascii="Calibri" w:hAnsi="Calibri"/>
                <w:sz w:val="19"/>
              </w:rPr>
              <w:t>Lack of stable income directly impacts repayment capacity</w:t>
            </w:r>
          </w:p>
        </w:tc>
      </w:tr>
      <w:tr>
        <w:tc>
          <w:tcPr>
            <w:tcW w:type="dxa" w:w="3324"/>
          </w:tcPr>
          <w:p>
            <w:pPr>
              <w:spacing w:before="40" w:after="40"/>
            </w:pPr>
            <w:r>
              <w:rPr>
                <w:rFonts w:ascii="Calibri" w:hAnsi="Calibri"/>
                <w:sz w:val="19"/>
              </w:rPr>
              <w:t>Los Angeles Customers</w:t>
            </w:r>
          </w:p>
        </w:tc>
        <w:tc>
          <w:tcPr>
            <w:tcW w:type="dxa" w:w="3324"/>
          </w:tcPr>
          <w:p>
            <w:pPr>
              <w:spacing w:before="40" w:after="40"/>
            </w:pPr>
            <w:r>
              <w:rPr>
                <w:rFonts w:ascii="Calibri" w:hAnsi="Calibri"/>
                <w:sz w:val="19"/>
              </w:rPr>
              <w:t>19.6%</w:t>
            </w:r>
          </w:p>
        </w:tc>
        <w:tc>
          <w:tcPr>
            <w:tcW w:type="dxa" w:w="3324"/>
          </w:tcPr>
          <w:p>
            <w:pPr>
              <w:spacing w:before="40" w:after="40"/>
            </w:pPr>
            <w:r>
              <w:rPr>
                <w:rFonts w:ascii="Calibri" w:hAnsi="Calibri"/>
                <w:sz w:val="19"/>
              </w:rPr>
              <w:t>Regional cost-of-living pressures may drive delinquency</w:t>
            </w:r>
          </w:p>
        </w:tc>
      </w:tr>
      <w:tr>
        <w:tc>
          <w:tcPr>
            <w:tcW w:type="dxa" w:w="3324"/>
          </w:tcPr>
          <w:p>
            <w:pPr>
              <w:spacing w:before="40" w:after="40"/>
            </w:pPr>
            <w:r>
              <w:rPr>
                <w:rFonts w:ascii="Calibri" w:hAnsi="Calibri"/>
                <w:sz w:val="19"/>
              </w:rPr>
              <w:t>Missing Loan Balance Records</w:t>
            </w:r>
          </w:p>
        </w:tc>
        <w:tc>
          <w:tcPr>
            <w:tcW w:type="dxa" w:w="3324"/>
          </w:tcPr>
          <w:p>
            <w:pPr>
              <w:spacing w:before="40" w:after="40"/>
            </w:pPr>
            <w:r>
              <w:rPr>
                <w:rFonts w:ascii="Calibri" w:hAnsi="Calibri"/>
                <w:sz w:val="19"/>
              </w:rPr>
              <w:t>24.1%</w:t>
            </w:r>
          </w:p>
        </w:tc>
        <w:tc>
          <w:tcPr>
            <w:tcW w:type="dxa" w:w="3324"/>
          </w:tcPr>
          <w:p>
            <w:pPr>
              <w:spacing w:before="40" w:after="40"/>
            </w:pPr>
            <w:r>
              <w:rPr>
                <w:rFonts w:ascii="Calibri" w:hAnsi="Calibri"/>
                <w:sz w:val="19"/>
              </w:rPr>
              <w:t>Data gap correlates with financial disengagement</w:t>
            </w:r>
          </w:p>
        </w:tc>
      </w:tr>
    </w:tbl>
    <w:p>
      <w:pPr>
        <w:spacing w:after="80"/>
      </w:pPr>
    </w:p>
    <w:p>
      <w:pPr>
        <w:pStyle w:val="Heading1"/>
      </w:pPr>
      <w:r>
        <w:rPr>
          <w:color w:val="1B3A5C"/>
          <w:sz w:val="28"/>
        </w:rPr>
        <w:t>2. SMART Business Recommendation</w:t>
      </w:r>
    </w:p>
    <w:p>
      <w:pPr>
        <w:spacing w:after="120" w:before="20"/>
      </w:pPr>
      <w:r>
        <w:rPr>
          <w:b w:val="0"/>
          <w:i/>
          <w:sz w:val="21"/>
        </w:rPr>
        <w:t>Key Insight: High credit utilization combined with deteriorating payment patterns is the strongest composite indicator of imminent delinquency.</w:t>
      </w:r>
    </w:p>
    <w:p>
      <w:pPr>
        <w:spacing w:after="40" w:before="20"/>
      </w:pPr>
      <w:r>
        <w:rPr>
          <w:b/>
          <w:i w:val="0"/>
          <w:sz w:val="21"/>
        </w:rPr>
        <w:t>SMART Goal</w:t>
      </w:r>
    </w:p>
    <w:tbl>
      <w:tblPr>
        <w:tblStyle w:val="LightGrid-Accent1"/>
        <w:tblW w:type="auto" w:w="0"/>
        <w:jc w:val="center"/>
        <w:tblLook w:firstColumn="1" w:firstRow="1" w:lastColumn="0" w:lastRow="0" w:noHBand="0" w:noVBand="1" w:val="04A0"/>
      </w:tblPr>
      <w:tblGrid>
        <w:gridCol w:w="4986"/>
        <w:gridCol w:w="4986"/>
      </w:tblGrid>
      <w:tr>
        <w:tc>
          <w:tcPr>
            <w:tcW w:type="dxa" w:w="4986"/>
          </w:tcPr>
          <w:p>
            <w:pPr>
              <w:spacing w:before="40" w:after="40"/>
            </w:pPr>
            <w:r>
              <w:rPr>
                <w:rFonts w:ascii="Calibri" w:hAnsi="Calibri"/>
                <w:b/>
                <w:sz w:val="19"/>
              </w:rPr>
              <w:t>SMART Element</w:t>
            </w:r>
          </w:p>
        </w:tc>
        <w:tc>
          <w:tcPr>
            <w:tcW w:type="dxa" w:w="4986"/>
          </w:tcPr>
          <w:p>
            <w:pPr>
              <w:spacing w:before="40" w:after="40"/>
            </w:pPr>
            <w:r>
              <w:rPr>
                <w:rFonts w:ascii="Calibri" w:hAnsi="Calibri"/>
                <w:b/>
                <w:sz w:val="19"/>
              </w:rPr>
              <w:t>Detail</w:t>
            </w:r>
          </w:p>
        </w:tc>
      </w:tr>
      <w:tr>
        <w:tc>
          <w:tcPr>
            <w:tcW w:type="dxa" w:w="4986"/>
          </w:tcPr>
          <w:p>
            <w:pPr>
              <w:spacing w:before="40" w:after="40"/>
            </w:pPr>
            <w:r>
              <w:rPr>
                <w:rFonts w:ascii="Calibri" w:hAnsi="Calibri"/>
                <w:sz w:val="19"/>
              </w:rPr>
              <w:t>Specific</w:t>
            </w:r>
          </w:p>
        </w:tc>
        <w:tc>
          <w:tcPr>
            <w:tcW w:type="dxa" w:w="4986"/>
          </w:tcPr>
          <w:p>
            <w:pPr>
              <w:spacing w:before="40" w:after="40"/>
            </w:pPr>
            <w:r>
              <w:rPr>
                <w:rFonts w:ascii="Calibri" w:hAnsi="Calibri"/>
                <w:sz w:val="19"/>
              </w:rPr>
              <w:t>Launch a proactive outreach program targeting customers whose credit utilization exceeds 80% AND who have 2+ late/missed payments in the last 3 months</w:t>
            </w:r>
          </w:p>
        </w:tc>
      </w:tr>
      <w:tr>
        <w:tc>
          <w:tcPr>
            <w:tcW w:type="dxa" w:w="4986"/>
          </w:tcPr>
          <w:p>
            <w:pPr>
              <w:spacing w:before="40" w:after="40"/>
            </w:pPr>
            <w:r>
              <w:rPr>
                <w:rFonts w:ascii="Calibri" w:hAnsi="Calibri"/>
                <w:sz w:val="19"/>
              </w:rPr>
              <w:t>Measurable</w:t>
            </w:r>
          </w:p>
        </w:tc>
        <w:tc>
          <w:tcPr>
            <w:tcW w:type="dxa" w:w="4986"/>
          </w:tcPr>
          <w:p>
            <w:pPr>
              <w:spacing w:before="40" w:after="40"/>
            </w:pPr>
            <w:r>
              <w:rPr>
                <w:rFonts w:ascii="Calibri" w:hAnsi="Calibri"/>
                <w:sz w:val="19"/>
              </w:rPr>
              <w:t>Reduce delinquency rate among the targeted high-risk segment by 15% (from ~21% to ~18%)</w:t>
            </w:r>
          </w:p>
        </w:tc>
      </w:tr>
      <w:tr>
        <w:tc>
          <w:tcPr>
            <w:tcW w:type="dxa" w:w="4986"/>
          </w:tcPr>
          <w:p>
            <w:pPr>
              <w:spacing w:before="40" w:after="40"/>
            </w:pPr>
            <w:r>
              <w:rPr>
                <w:rFonts w:ascii="Calibri" w:hAnsi="Calibri"/>
                <w:sz w:val="19"/>
              </w:rPr>
              <w:t>Achievable</w:t>
            </w:r>
          </w:p>
        </w:tc>
        <w:tc>
          <w:tcPr>
            <w:tcW w:type="dxa" w:w="4986"/>
          </w:tcPr>
          <w:p>
            <w:pPr>
              <w:spacing w:before="40" w:after="40"/>
            </w:pPr>
            <w:r>
              <w:rPr>
                <w:rFonts w:ascii="Calibri" w:hAnsi="Calibri"/>
                <w:sz w:val="19"/>
              </w:rPr>
              <w:t>Leverage the existing Collections team with AI-generated risk scores to prioritize outreach — no new hires required</w:t>
            </w:r>
          </w:p>
        </w:tc>
      </w:tr>
      <w:tr>
        <w:tc>
          <w:tcPr>
            <w:tcW w:type="dxa" w:w="4986"/>
          </w:tcPr>
          <w:p>
            <w:pPr>
              <w:spacing w:before="40" w:after="40"/>
            </w:pPr>
            <w:r>
              <w:rPr>
                <w:rFonts w:ascii="Calibri" w:hAnsi="Calibri"/>
                <w:sz w:val="19"/>
              </w:rPr>
              <w:t>Relevant</w:t>
            </w:r>
          </w:p>
        </w:tc>
        <w:tc>
          <w:tcPr>
            <w:tcW w:type="dxa" w:w="4986"/>
          </w:tcPr>
          <w:p>
            <w:pPr>
              <w:spacing w:before="40" w:after="40"/>
            </w:pPr>
            <w:r>
              <w:rPr>
                <w:rFonts w:ascii="Calibri" w:hAnsi="Calibri"/>
                <w:sz w:val="19"/>
              </w:rPr>
              <w:t>Directly supports Geldium's goal of reducing portfolio losses and improving customer retention through early intervention</w:t>
            </w:r>
          </w:p>
        </w:tc>
      </w:tr>
      <w:tr>
        <w:tc>
          <w:tcPr>
            <w:tcW w:type="dxa" w:w="4986"/>
          </w:tcPr>
          <w:p>
            <w:pPr>
              <w:spacing w:before="40" w:after="40"/>
            </w:pPr>
            <w:r>
              <w:rPr>
                <w:rFonts w:ascii="Calibri" w:hAnsi="Calibri"/>
                <w:sz w:val="19"/>
              </w:rPr>
              <w:t>Time-bound</w:t>
            </w:r>
          </w:p>
        </w:tc>
        <w:tc>
          <w:tcPr>
            <w:tcW w:type="dxa" w:w="4986"/>
          </w:tcPr>
          <w:p>
            <w:pPr>
              <w:spacing w:before="40" w:after="40"/>
            </w:pPr>
            <w:r>
              <w:rPr>
                <w:rFonts w:ascii="Calibri" w:hAnsi="Calibri"/>
                <w:sz w:val="19"/>
              </w:rPr>
              <w:t>Pilot the program within 90 days; measure impact at the 6-month mark</w:t>
            </w:r>
          </w:p>
        </w:tc>
      </w:tr>
    </w:tbl>
    <w:p>
      <w:pPr>
        <w:spacing w:after="40"/>
      </w:pPr>
    </w:p>
    <w:p>
      <w:pPr>
        <w:spacing w:after="40" w:before="20"/>
      </w:pPr>
      <w:r>
        <w:rPr>
          <w:b/>
          <w:i w:val="0"/>
          <w:sz w:val="21"/>
        </w:rPr>
        <w:t>Stakeholder Rationale</w:t>
      </w:r>
    </w:p>
    <w:p>
      <w:pPr>
        <w:spacing w:after="120" w:before="20"/>
      </w:pPr>
      <w:r>
        <w:rPr>
          <w:b w:val="0"/>
          <w:i w:val="0"/>
          <w:sz w:val="21"/>
        </w:rPr>
        <w:t>Our model identifies that payment behavior and credit utilization are the two most actionable predictors of delinquency. By targeting customers who exhibit both risk factors simultaneously, the Collections team can intervene before accounts transition to full delinquency — reducing write-offs, preserving customer relationships, and improving portfolio health. This targeted approach is more cost-effective than blanket outreach because the AI model narrows the focus to the highest-risk individuals.</w:t>
      </w:r>
    </w:p>
    <w:p>
      <w:pPr>
        <w:pStyle w:val="Heading1"/>
      </w:pPr>
      <w:r>
        <w:rPr>
          <w:color w:val="1B3A5C"/>
          <w:sz w:val="28"/>
        </w:rPr>
        <w:t>3. Ethical and Responsible AI Considerations</w:t>
      </w:r>
    </w:p>
    <w:p>
      <w:pPr>
        <w:spacing w:after="40" w:before="20"/>
      </w:pPr>
      <w:r>
        <w:rPr>
          <w:b/>
          <w:i w:val="0"/>
          <w:sz w:val="21"/>
        </w:rPr>
        <w:t>Fairness Risks and Mitigation</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spacing w:before="40" w:after="40"/>
            </w:pPr>
            <w:r>
              <w:rPr>
                <w:rFonts w:ascii="Calibri" w:hAnsi="Calibri"/>
                <w:b/>
                <w:sz w:val="19"/>
              </w:rPr>
              <w:t>Fairness Risk</w:t>
            </w:r>
          </w:p>
        </w:tc>
        <w:tc>
          <w:tcPr>
            <w:tcW w:type="dxa" w:w="3324"/>
          </w:tcPr>
          <w:p>
            <w:pPr>
              <w:spacing w:before="40" w:after="40"/>
            </w:pPr>
            <w:r>
              <w:rPr>
                <w:rFonts w:ascii="Calibri" w:hAnsi="Calibri"/>
                <w:b/>
                <w:sz w:val="19"/>
              </w:rPr>
              <w:t>Description</w:t>
            </w:r>
          </w:p>
        </w:tc>
        <w:tc>
          <w:tcPr>
            <w:tcW w:type="dxa" w:w="3324"/>
          </w:tcPr>
          <w:p>
            <w:pPr>
              <w:spacing w:before="40" w:after="40"/>
            </w:pPr>
            <w:r>
              <w:rPr>
                <w:rFonts w:ascii="Calibri" w:hAnsi="Calibri"/>
                <w:b/>
                <w:sz w:val="19"/>
              </w:rPr>
              <w:t>Mitigation Strategy</w:t>
            </w:r>
          </w:p>
        </w:tc>
      </w:tr>
      <w:tr>
        <w:tc>
          <w:tcPr>
            <w:tcW w:type="dxa" w:w="3324"/>
          </w:tcPr>
          <w:p>
            <w:pPr>
              <w:spacing w:before="40" w:after="40"/>
            </w:pPr>
            <w:r>
              <w:rPr>
                <w:rFonts w:ascii="Calibri" w:hAnsi="Calibri"/>
                <w:sz w:val="19"/>
              </w:rPr>
              <w:t>Employment Status Bias</w:t>
            </w:r>
          </w:p>
        </w:tc>
        <w:tc>
          <w:tcPr>
            <w:tcW w:type="dxa" w:w="3324"/>
          </w:tcPr>
          <w:p>
            <w:pPr>
              <w:spacing w:before="40" w:after="40"/>
            </w:pPr>
            <w:r>
              <w:rPr>
                <w:rFonts w:ascii="Calibri" w:hAnsi="Calibri"/>
                <w:sz w:val="19"/>
              </w:rPr>
              <w:t>The model flags self-employed and unemployed customers at higher rates. Our fairness audit found a Disparate Impact Ratio of 0.25, well below the acceptable 0.80 threshold — indicating potential over-flagging of non-traditional workers.</w:t>
            </w:r>
          </w:p>
        </w:tc>
        <w:tc>
          <w:tcPr>
            <w:tcW w:type="dxa" w:w="3324"/>
          </w:tcPr>
          <w:p>
            <w:pPr>
              <w:spacing w:before="40" w:after="40"/>
            </w:pPr>
            <w:r>
              <w:rPr>
                <w:rFonts w:ascii="Calibri" w:hAnsi="Calibri"/>
                <w:sz w:val="19"/>
              </w:rPr>
              <w:t>Apply group-specific threshold calibration so that predicted delinquency rates align with actual rates for each employment group. Monitor the Disparate Impact Ratio monthly and retrain if it falls below 0.80.</w:t>
            </w:r>
          </w:p>
        </w:tc>
      </w:tr>
      <w:tr>
        <w:tc>
          <w:tcPr>
            <w:tcW w:type="dxa" w:w="3324"/>
          </w:tcPr>
          <w:p>
            <w:pPr>
              <w:spacing w:before="40" w:after="40"/>
            </w:pPr>
            <w:r>
              <w:rPr>
                <w:rFonts w:ascii="Calibri" w:hAnsi="Calibri"/>
                <w:sz w:val="19"/>
              </w:rPr>
              <w:t>Geographic Proxy Discrimination</w:t>
            </w:r>
          </w:p>
        </w:tc>
        <w:tc>
          <w:tcPr>
            <w:tcW w:type="dxa" w:w="3324"/>
          </w:tcPr>
          <w:p>
            <w:pPr>
              <w:spacing w:before="40" w:after="40"/>
            </w:pPr>
            <w:r>
              <w:rPr>
                <w:rFonts w:ascii="Calibri" w:hAnsi="Calibri"/>
                <w:sz w:val="19"/>
              </w:rPr>
              <w:t>Location (e.g., Los Angeles, Houston) may serve as a proxy for socioeconomic or racial demographics, potentially leading to unfair treatment of customers based on where they live rather than their individual financial behavior.</w:t>
            </w:r>
          </w:p>
        </w:tc>
        <w:tc>
          <w:tcPr>
            <w:tcW w:type="dxa" w:w="3324"/>
          </w:tcPr>
          <w:p>
            <w:pPr>
              <w:spacing w:before="40" w:after="40"/>
            </w:pPr>
            <w:r>
              <w:rPr>
                <w:rFonts w:ascii="Calibri" w:hAnsi="Calibri"/>
                <w:sz w:val="19"/>
              </w:rPr>
              <w:t>Evaluate whether removing Location from the model degrades performance significantly. If it does not, exclude it. If it does, apply fairness constraints to ensure location does not disproportionately impact any group.</w:t>
            </w:r>
          </w:p>
        </w:tc>
      </w:tr>
    </w:tbl>
    <w:p>
      <w:pPr>
        <w:spacing w:after="40"/>
      </w:pPr>
    </w:p>
    <w:p>
      <w:pPr>
        <w:spacing w:after="40" w:before="20"/>
      </w:pPr>
      <w:r>
        <w:rPr>
          <w:b/>
          <w:i w:val="0"/>
          <w:sz w:val="21"/>
        </w:rPr>
        <w:t>Explaining AI Predictions to Stakeholders</w:t>
      </w:r>
    </w:p>
    <w:p>
      <w:pPr>
        <w:spacing w:after="80" w:before="20"/>
      </w:pPr>
      <w:r>
        <w:rPr>
          <w:b w:val="0"/>
          <w:i w:val="0"/>
          <w:sz w:val="21"/>
        </w:rPr>
        <w:t>The model works like a scoring system: it examines each customer's payment history, credit usage, and financial profile, then assigns a risk score from 0 (low risk) to 1 (high risk). Customers scoring above 0.19 are flagged for review. For every flagged customer, the system provides a plain-language explanation — for example: "This customer was flagged because they missed payments in 3 of the last 6 months and their credit utilization is at 92%." A companion Decision Tree model provides simple if/then rules that any team member can follow, ensuring full transparency.</w:t>
      </w:r>
    </w:p>
    <w:p>
      <w:pPr>
        <w:spacing w:after="40" w:before="20"/>
      </w:pPr>
      <w:r>
        <w:rPr>
          <w:b/>
          <w:i w:val="0"/>
          <w:sz w:val="21"/>
        </w:rPr>
        <w:t>Responsible AI Commitments</w:t>
      </w:r>
    </w:p>
    <w:p>
      <w:pPr>
        <w:pStyle w:val="ListBullet"/>
        <w:spacing w:after="40" w:before="0"/>
      </w:pPr>
      <w:r>
        <w:rPr>
          <w:sz w:val="21"/>
        </w:rPr>
        <w:t>All model predictions are explainable using SHAP values and Decision Tree rules — no "black box" decisions.</w:t>
      </w:r>
    </w:p>
    <w:p>
      <w:pPr>
        <w:pStyle w:val="ListBullet"/>
        <w:spacing w:after="40" w:before="0"/>
      </w:pPr>
      <w:r>
        <w:rPr>
          <w:sz w:val="21"/>
        </w:rPr>
        <w:t>The model is validated for fairness across employment status, location, and age groups before deployment.</w:t>
      </w:r>
    </w:p>
    <w:p>
      <w:pPr>
        <w:pStyle w:val="ListBullet"/>
        <w:spacing w:after="40" w:before="0"/>
      </w:pPr>
      <w:r>
        <w:rPr>
          <w:sz w:val="21"/>
        </w:rPr>
        <w:t>Human review remains mandatory — the model recommends, but trained Collections staff make the final decision.</w:t>
      </w:r>
    </w:p>
    <w:p>
      <w:pPr>
        <w:pStyle w:val="ListBullet"/>
        <w:spacing w:after="120" w:before="0"/>
      </w:pPr>
      <w:r>
        <w:rPr>
          <w:sz w:val="21"/>
        </w:rPr>
        <w:t>The model will be retrained quarterly and audited for bias drift using updated customer data.</w:t>
      </w:r>
    </w:p>
    <w:p>
      <w:pPr>
        <w:pStyle w:val="Heading1"/>
      </w:pPr>
      <w:r>
        <w:rPr>
          <w:color w:val="1B3A5C"/>
          <w:sz w:val="28"/>
        </w:rPr>
        <w:t>4. AI &amp; GenAI Usage</w:t>
      </w:r>
    </w:p>
    <w:p>
      <w:pPr>
        <w:spacing w:after="40" w:before="20"/>
      </w:pPr>
      <w:r>
        <w:rPr>
          <w:b w:val="0"/>
          <w:i w:val="0"/>
          <w:sz w:val="21"/>
        </w:rPr>
        <w:t>Generative AI (Claude Code) was used throughout this project to: (1) conduct exploratory data analysis and identify data quality issues, (2) engineer predictive features from raw payment history, (3) train and compare three candidate models, (4) perform fairness audits, and (5) draft this stakeholder report. All AI-generated outputs were reviewed and validated by the analytics team. Example prompts included: "Summarize top predictors of customer delinquency," "Turn this insight into a SMART business recommendation," and "List fairness risks for a financial risk prediction model."</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