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2384B" w14:textId="77777777" w:rsidR="000868FF" w:rsidRDefault="000868FF"/>
    <w:tbl>
      <w:tblPr>
        <w:tblW w:w="9707"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
        <w:gridCol w:w="4693"/>
        <w:gridCol w:w="4307"/>
      </w:tblGrid>
      <w:tr w:rsidR="00B603DD" w14:paraId="7498740D" w14:textId="77777777" w:rsidTr="00B603DD">
        <w:trPr>
          <w:trHeight w:val="424"/>
        </w:trPr>
        <w:tc>
          <w:tcPr>
            <w:tcW w:w="707" w:type="dxa"/>
            <w:shd w:val="clear" w:color="auto" w:fill="auto"/>
          </w:tcPr>
          <w:p w14:paraId="19B670BC" w14:textId="77777777" w:rsidR="00B603DD" w:rsidRDefault="00B603DD" w:rsidP="00B603DD">
            <w:r>
              <w:t>No.</w:t>
            </w:r>
          </w:p>
        </w:tc>
        <w:tc>
          <w:tcPr>
            <w:tcW w:w="4693" w:type="dxa"/>
          </w:tcPr>
          <w:p w14:paraId="070FADD3" w14:textId="77777777" w:rsidR="00B603DD" w:rsidRDefault="00B603DD" w:rsidP="00B603DD">
            <w:r>
              <w:t>Reviewer One’s Comment</w:t>
            </w:r>
            <w:r w:rsidR="009F36D6">
              <w:t>s</w:t>
            </w:r>
          </w:p>
          <w:p w14:paraId="7F8C1CBD" w14:textId="77777777" w:rsidR="00B603DD" w:rsidRDefault="00B603DD" w:rsidP="00B603DD"/>
        </w:tc>
        <w:tc>
          <w:tcPr>
            <w:tcW w:w="4307" w:type="dxa"/>
          </w:tcPr>
          <w:p w14:paraId="3D377B7E" w14:textId="77777777" w:rsidR="00B603DD" w:rsidRDefault="00B603DD">
            <w:r>
              <w:t>Action taken</w:t>
            </w:r>
          </w:p>
          <w:p w14:paraId="14895BEE" w14:textId="77777777" w:rsidR="00B603DD" w:rsidRDefault="00B603DD" w:rsidP="00B603DD"/>
        </w:tc>
      </w:tr>
      <w:tr w:rsidR="00B603DD" w14:paraId="782A4352" w14:textId="77777777" w:rsidTr="00B603DD">
        <w:trPr>
          <w:trHeight w:val="1659"/>
        </w:trPr>
        <w:tc>
          <w:tcPr>
            <w:tcW w:w="707" w:type="dxa"/>
            <w:shd w:val="clear" w:color="auto" w:fill="auto"/>
          </w:tcPr>
          <w:p w14:paraId="17A91894" w14:textId="77777777" w:rsidR="00B603DD" w:rsidRDefault="00B603DD" w:rsidP="00B603DD">
            <w:r>
              <w:t>1.</w:t>
            </w:r>
          </w:p>
          <w:p w14:paraId="4D209100" w14:textId="77777777" w:rsidR="00B603DD" w:rsidRDefault="00B603DD" w:rsidP="00B603DD"/>
          <w:p w14:paraId="75677F6B" w14:textId="77777777" w:rsidR="00B603DD" w:rsidRDefault="00B603DD" w:rsidP="00B603DD"/>
          <w:p w14:paraId="1E902495" w14:textId="77777777" w:rsidR="00B603DD" w:rsidRDefault="00B603DD" w:rsidP="00B603DD"/>
          <w:p w14:paraId="1AD83396" w14:textId="77777777" w:rsidR="00B603DD" w:rsidRDefault="00B603DD" w:rsidP="00B603DD"/>
          <w:p w14:paraId="733FB198" w14:textId="77777777" w:rsidR="00B603DD" w:rsidRDefault="00B603DD" w:rsidP="00B603DD"/>
        </w:tc>
        <w:tc>
          <w:tcPr>
            <w:tcW w:w="4693" w:type="dxa"/>
          </w:tcPr>
          <w:p w14:paraId="6D8D0595" w14:textId="77777777" w:rsidR="00B603DD" w:rsidRPr="00B603DD" w:rsidRDefault="00B603DD" w:rsidP="00B603DD">
            <w:r w:rsidRPr="00B603DD">
              <w:t>The paper would be improved if the work were better motivated by an example application near the start of the paper (for example, the MD simulation that is used later in the paper). </w:t>
            </w:r>
          </w:p>
          <w:p w14:paraId="561C1E96" w14:textId="77777777" w:rsidR="00B603DD" w:rsidRDefault="00B603DD" w:rsidP="00B603DD"/>
        </w:tc>
        <w:tc>
          <w:tcPr>
            <w:tcW w:w="4307" w:type="dxa"/>
          </w:tcPr>
          <w:p w14:paraId="0FCE4B45" w14:textId="77777777" w:rsidR="00B603DD" w:rsidRDefault="00B603DD" w:rsidP="00B603DD">
            <w:r>
              <w:t>We mentioned the example application used and referenced it in the introduction</w:t>
            </w:r>
            <w:r w:rsidR="009F36D6">
              <w:t xml:space="preserve"> (section 1)</w:t>
            </w:r>
            <w:bookmarkStart w:id="0" w:name="_GoBack"/>
            <w:bookmarkEnd w:id="0"/>
            <w:r>
              <w:t>.</w:t>
            </w:r>
          </w:p>
        </w:tc>
      </w:tr>
      <w:tr w:rsidR="00B603DD" w14:paraId="7C22BDA7" w14:textId="77777777" w:rsidTr="00B603DD">
        <w:trPr>
          <w:trHeight w:val="1401"/>
        </w:trPr>
        <w:tc>
          <w:tcPr>
            <w:tcW w:w="707" w:type="dxa"/>
            <w:shd w:val="clear" w:color="auto" w:fill="auto"/>
          </w:tcPr>
          <w:p w14:paraId="086595E8" w14:textId="77777777" w:rsidR="00B603DD" w:rsidRDefault="00B603DD" w:rsidP="00B603DD">
            <w:r>
              <w:t>2.</w:t>
            </w:r>
          </w:p>
        </w:tc>
        <w:tc>
          <w:tcPr>
            <w:tcW w:w="4693" w:type="dxa"/>
          </w:tcPr>
          <w:p w14:paraId="3C349529" w14:textId="77777777" w:rsidR="00B603DD" w:rsidRPr="00B603DD" w:rsidRDefault="00B603DD" w:rsidP="00B603DD">
            <w:r w:rsidRPr="00B603DD">
              <w:t>There needs to be an explanation of why the temperature needs to be exchanged between replicas and what the role of the Metropolis algorithm is.</w:t>
            </w:r>
          </w:p>
          <w:p w14:paraId="484B225B" w14:textId="77777777" w:rsidR="00B603DD" w:rsidRPr="00B603DD" w:rsidRDefault="00B603DD" w:rsidP="00B603DD"/>
        </w:tc>
        <w:tc>
          <w:tcPr>
            <w:tcW w:w="4307" w:type="dxa"/>
          </w:tcPr>
          <w:p w14:paraId="0571DC72" w14:textId="77777777" w:rsidR="00B603DD" w:rsidRDefault="00B603DD" w:rsidP="00B603DD">
            <w:r>
              <w:t>We explained and referenced this in section 2 (a).</w:t>
            </w:r>
          </w:p>
        </w:tc>
      </w:tr>
      <w:tr w:rsidR="00B603DD" w14:paraId="3755C057" w14:textId="77777777" w:rsidTr="00B603DD">
        <w:trPr>
          <w:trHeight w:val="707"/>
        </w:trPr>
        <w:tc>
          <w:tcPr>
            <w:tcW w:w="707" w:type="dxa"/>
            <w:shd w:val="clear" w:color="auto" w:fill="auto"/>
          </w:tcPr>
          <w:p w14:paraId="5BD2B15E" w14:textId="77777777" w:rsidR="00B603DD" w:rsidRDefault="00B603DD" w:rsidP="00B603DD">
            <w:r>
              <w:t>3.</w:t>
            </w:r>
          </w:p>
        </w:tc>
        <w:tc>
          <w:tcPr>
            <w:tcW w:w="4693" w:type="dxa"/>
          </w:tcPr>
          <w:p w14:paraId="3CEB4D2C" w14:textId="77777777" w:rsidR="00B603DD" w:rsidRPr="00B603DD" w:rsidRDefault="00B603DD" w:rsidP="00B603DD">
            <w:r w:rsidRPr="00B603DD">
              <w:t>In Figure 4, shouldn't the x-axis be labeled "Number of machines"?</w:t>
            </w:r>
          </w:p>
          <w:p w14:paraId="29FC6BA6" w14:textId="77777777" w:rsidR="00B603DD" w:rsidRPr="00B603DD" w:rsidRDefault="00B603DD" w:rsidP="00B603DD"/>
        </w:tc>
        <w:tc>
          <w:tcPr>
            <w:tcW w:w="4307" w:type="dxa"/>
          </w:tcPr>
          <w:p w14:paraId="53BA90E7" w14:textId="77777777" w:rsidR="00B603DD" w:rsidRDefault="00B603DD" w:rsidP="00B603DD">
            <w:r>
              <w:t>Corrected this mistake.</w:t>
            </w:r>
          </w:p>
        </w:tc>
      </w:tr>
      <w:tr w:rsidR="00B603DD" w14:paraId="49CDE84B" w14:textId="77777777" w:rsidTr="00B603DD">
        <w:trPr>
          <w:trHeight w:val="1646"/>
        </w:trPr>
        <w:tc>
          <w:tcPr>
            <w:tcW w:w="707" w:type="dxa"/>
            <w:shd w:val="clear" w:color="auto" w:fill="auto"/>
          </w:tcPr>
          <w:p w14:paraId="6FC09BF3" w14:textId="77777777" w:rsidR="00B603DD" w:rsidRDefault="00B603DD" w:rsidP="00B603DD">
            <w:r>
              <w:t>4.</w:t>
            </w:r>
          </w:p>
        </w:tc>
        <w:tc>
          <w:tcPr>
            <w:tcW w:w="4693" w:type="dxa"/>
          </w:tcPr>
          <w:p w14:paraId="4B2BAB05" w14:textId="77777777" w:rsidR="00B603DD" w:rsidRPr="00B603DD" w:rsidRDefault="00B603DD" w:rsidP="00B603DD">
            <w:r w:rsidRPr="00B603DD">
              <w:t>When multiple replicas are concurrently searching for a partner to exchange with it is not clear how this is done safely. Even with reverification non-deterministic behavior could still arise if care is not taken.</w:t>
            </w:r>
          </w:p>
        </w:tc>
        <w:tc>
          <w:tcPr>
            <w:tcW w:w="4307" w:type="dxa"/>
          </w:tcPr>
          <w:p w14:paraId="654CAE77" w14:textId="77777777" w:rsidR="00B603DD" w:rsidRDefault="00B603DD" w:rsidP="00B603DD">
            <w:r>
              <w:t>The replicas are matched using the Metropolis scheme, which is non-deterministic. We explained this in section 3 (b) (ii).</w:t>
            </w:r>
          </w:p>
        </w:tc>
      </w:tr>
      <w:tr w:rsidR="00B603DD" w14:paraId="30DABD43" w14:textId="77777777" w:rsidTr="00B603DD">
        <w:trPr>
          <w:trHeight w:val="8987"/>
        </w:trPr>
        <w:tc>
          <w:tcPr>
            <w:tcW w:w="707" w:type="dxa"/>
            <w:vMerge w:val="restart"/>
            <w:shd w:val="clear" w:color="auto" w:fill="auto"/>
          </w:tcPr>
          <w:p w14:paraId="7B554FA6" w14:textId="77777777" w:rsidR="00B603DD" w:rsidRDefault="00B603DD" w:rsidP="00B603DD">
            <w:r>
              <w:lastRenderedPageBreak/>
              <w:t>5.</w:t>
            </w:r>
          </w:p>
        </w:tc>
        <w:tc>
          <w:tcPr>
            <w:tcW w:w="4693" w:type="dxa"/>
          </w:tcPr>
          <w:p w14:paraId="12DD7B4F" w14:textId="77777777" w:rsidR="00B603DD" w:rsidRPr="00B603DD" w:rsidRDefault="00B603DD" w:rsidP="00B603DD">
            <w:r>
              <w:rPr>
                <w:rFonts w:ascii="Arial" w:eastAsia="Times New Roman" w:hAnsi="Arial" w:cs="Times New Roman"/>
                <w:color w:val="000000"/>
                <w:sz w:val="20"/>
                <w:szCs w:val="20"/>
              </w:rPr>
              <w:t>1</w:t>
            </w:r>
            <w:r w:rsidRPr="00B603DD">
              <w:rPr>
                <w:rFonts w:ascii="Arial" w:eastAsia="Times New Roman" w:hAnsi="Arial" w:cs="Times New Roman"/>
                <w:color w:val="000000"/>
                <w:sz w:val="20"/>
                <w:szCs w:val="20"/>
              </w:rPr>
              <w:t>) Don't use symbols to refer to "Section" - write it out as text.</w:t>
            </w:r>
            <w:r w:rsidRPr="00B603DD">
              <w:rPr>
                <w:rFonts w:ascii="Arial" w:eastAsia="Times New Roman" w:hAnsi="Arial" w:cs="Times New Roman"/>
                <w:color w:val="000000"/>
                <w:sz w:val="20"/>
                <w:szCs w:val="20"/>
              </w:rPr>
              <w:br/>
              <w:t>2) Try to avoid using the word "utilize" and derivatives thereof. The word "use" can almost always be used instead.</w:t>
            </w:r>
            <w:r w:rsidRPr="00B603DD">
              <w:rPr>
                <w:rFonts w:ascii="Arial" w:eastAsia="Times New Roman" w:hAnsi="Arial" w:cs="Times New Roman"/>
                <w:color w:val="000000"/>
                <w:sz w:val="20"/>
                <w:szCs w:val="20"/>
              </w:rPr>
              <w:br/>
              <w:t>3) Introduction, line 1, change to "Replica-Exchange (RE)......methods represent a class of algorithms..."</w:t>
            </w:r>
            <w:r w:rsidRPr="00B603DD">
              <w:rPr>
                <w:rFonts w:ascii="Arial" w:eastAsia="Times New Roman" w:hAnsi="Arial" w:cs="Times New Roman"/>
                <w:color w:val="000000"/>
                <w:sz w:val="20"/>
                <w:szCs w:val="20"/>
              </w:rPr>
              <w:br/>
              <w:t>4) Introduction, first para: Change "developed against" to "developed within"?</w:t>
            </w:r>
            <w:r w:rsidRPr="00B603DD">
              <w:rPr>
                <w:rFonts w:ascii="Arial" w:eastAsia="Times New Roman" w:hAnsi="Arial" w:cs="Times New Roman"/>
                <w:color w:val="000000"/>
                <w:sz w:val="20"/>
                <w:szCs w:val="20"/>
              </w:rPr>
              <w:br/>
              <w:t>5) Introduction, near end of second para: remove "different coordination mechanisms".</w:t>
            </w:r>
            <w:r w:rsidRPr="00B603DD">
              <w:rPr>
                <w:rFonts w:ascii="Arial" w:eastAsia="Times New Roman" w:hAnsi="Arial" w:cs="Times New Roman"/>
                <w:color w:val="000000"/>
                <w:sz w:val="20"/>
                <w:szCs w:val="20"/>
              </w:rPr>
              <w:br/>
              <w:t>6) Section 2(a), line 3: change to "total time-to-completion of an experiment".</w:t>
            </w:r>
            <w:r w:rsidRPr="00B603DD">
              <w:rPr>
                <w:rFonts w:ascii="Arial" w:eastAsia="Times New Roman" w:hAnsi="Arial" w:cs="Times New Roman"/>
                <w:color w:val="000000"/>
                <w:sz w:val="20"/>
                <w:szCs w:val="20"/>
              </w:rPr>
              <w:br/>
              <w:t>7) Don't use ampersand - use "and" instead.</w:t>
            </w:r>
            <w:r w:rsidRPr="00B603DD">
              <w:rPr>
                <w:rFonts w:ascii="Arial" w:eastAsia="Times New Roman" w:hAnsi="Arial" w:cs="Times New Roman"/>
                <w:color w:val="000000"/>
                <w:sz w:val="20"/>
                <w:szCs w:val="20"/>
              </w:rPr>
              <w:br/>
              <w:t>8) 3 lines after eqn. 2.2: this is the first mention of the advert server, so you either need to explain what it is, or make a forward reference, or drop the text in parentheses. Also "book-keeping" should be "bookkeeping".</w:t>
            </w:r>
            <w:r w:rsidRPr="00B603DD">
              <w:rPr>
                <w:rFonts w:ascii="Arial" w:eastAsia="Times New Roman" w:hAnsi="Arial" w:cs="Times New Roman"/>
                <w:color w:val="000000"/>
                <w:sz w:val="20"/>
                <w:szCs w:val="20"/>
              </w:rPr>
              <w:br/>
              <w:t>9) Last line of page 2: change to "in the asynchronous-centralised case".</w:t>
            </w:r>
            <w:r w:rsidRPr="00B603DD">
              <w:rPr>
                <w:rFonts w:ascii="Arial" w:eastAsia="Times New Roman" w:hAnsi="Arial" w:cs="Times New Roman"/>
                <w:color w:val="000000"/>
                <w:sz w:val="20"/>
                <w:szCs w:val="20"/>
              </w:rPr>
              <w:br/>
              <w:t>10) Section 2(b), second para, line 1: change to "For the synchronous RE formulation".</w:t>
            </w:r>
            <w:r w:rsidRPr="00B603DD">
              <w:rPr>
                <w:rFonts w:ascii="Arial" w:eastAsia="Times New Roman" w:hAnsi="Arial" w:cs="Times New Roman"/>
                <w:color w:val="000000"/>
                <w:sz w:val="20"/>
                <w:szCs w:val="20"/>
              </w:rPr>
              <w:br/>
              <w:t>11) Section 2(b), third para: omit comma after "consequence".</w:t>
            </w:r>
            <w:r w:rsidRPr="00B603DD">
              <w:rPr>
                <w:rFonts w:ascii="Arial" w:eastAsia="Times New Roman" w:hAnsi="Arial" w:cs="Times New Roman"/>
                <w:color w:val="000000"/>
                <w:sz w:val="20"/>
                <w:szCs w:val="20"/>
              </w:rPr>
              <w:br/>
              <w:t>12) Section 2(b), fourth para, line 1: omit "there are".</w:t>
            </w:r>
            <w:r w:rsidRPr="00B603DD">
              <w:rPr>
                <w:rFonts w:ascii="Arial" w:eastAsia="Times New Roman" w:hAnsi="Arial" w:cs="Times New Roman"/>
                <w:color w:val="000000"/>
                <w:sz w:val="20"/>
                <w:szCs w:val="20"/>
              </w:rPr>
              <w:br/>
              <w:t>13) Section 3(a), first para, last line: change "the conduction of" to "conducting".</w:t>
            </w:r>
            <w:r w:rsidRPr="00B603DD">
              <w:rPr>
                <w:rFonts w:ascii="Arial" w:eastAsia="Times New Roman" w:hAnsi="Arial" w:cs="Times New Roman"/>
                <w:color w:val="000000"/>
                <w:sz w:val="20"/>
                <w:szCs w:val="20"/>
              </w:rPr>
              <w:br/>
              <w:t>14) Section 3(a), second para, line 2: change to "enables the dynamical use of a range of"</w:t>
            </w:r>
            <w:r w:rsidRPr="00B603DD">
              <w:rPr>
                <w:rFonts w:ascii="Arial" w:eastAsia="Times New Roman" w:hAnsi="Arial" w:cs="Times New Roman"/>
                <w:color w:val="000000"/>
                <w:sz w:val="20"/>
                <w:szCs w:val="20"/>
              </w:rPr>
              <w:br/>
              <w:t>15) Section 3(a), third para, change "store which is used for" to "store used for".</w:t>
            </w:r>
            <w:r w:rsidRPr="00B603DD">
              <w:rPr>
                <w:rFonts w:ascii="Arial" w:eastAsia="Times New Roman" w:hAnsi="Arial" w:cs="Times New Roman"/>
                <w:color w:val="000000"/>
                <w:sz w:val="20"/>
                <w:szCs w:val="20"/>
              </w:rPr>
              <w:br/>
              <w:t>16) Section 3(a), third para, line 6: change to "multiple big-jobs".</w:t>
            </w:r>
            <w:r w:rsidRPr="00B603DD">
              <w:rPr>
                <w:rFonts w:ascii="Arial" w:eastAsia="Times New Roman" w:hAnsi="Arial" w:cs="Times New Roman"/>
                <w:color w:val="000000"/>
                <w:sz w:val="20"/>
                <w:szCs w:val="20"/>
              </w:rPr>
              <w:br/>
              <w:t>17) Section 3(b), second para, line 5: change to "has a centralised".</w:t>
            </w:r>
            <w:r w:rsidRPr="00B603DD">
              <w:rPr>
                <w:rFonts w:ascii="Arial" w:eastAsia="Times New Roman" w:hAnsi="Arial" w:cs="Times New Roman"/>
                <w:color w:val="000000"/>
                <w:sz w:val="20"/>
                <w:szCs w:val="20"/>
              </w:rPr>
              <w:br/>
              <w:t xml:space="preserve">18) Section 3(b)(ii), second para, line 6/7: change </w:t>
            </w:r>
          </w:p>
        </w:tc>
        <w:tc>
          <w:tcPr>
            <w:tcW w:w="4307" w:type="dxa"/>
            <w:vMerge w:val="restart"/>
          </w:tcPr>
          <w:p w14:paraId="55D03DAB" w14:textId="77777777" w:rsidR="00B603DD" w:rsidRDefault="00B603DD" w:rsidP="00B603DD">
            <w:r>
              <w:t xml:space="preserve">Fixed the typos. </w:t>
            </w:r>
          </w:p>
        </w:tc>
      </w:tr>
      <w:tr w:rsidR="00B603DD" w14:paraId="24DB370F" w14:textId="77777777" w:rsidTr="00B603DD">
        <w:trPr>
          <w:trHeight w:val="6467"/>
        </w:trPr>
        <w:tc>
          <w:tcPr>
            <w:tcW w:w="707" w:type="dxa"/>
            <w:vMerge/>
            <w:shd w:val="clear" w:color="auto" w:fill="auto"/>
          </w:tcPr>
          <w:p w14:paraId="529B7BA5" w14:textId="77777777" w:rsidR="00B603DD" w:rsidRDefault="00B603DD" w:rsidP="00B603DD"/>
        </w:tc>
        <w:tc>
          <w:tcPr>
            <w:tcW w:w="4693" w:type="dxa"/>
          </w:tcPr>
          <w:p w14:paraId="31E34DA5" w14:textId="77777777" w:rsidR="00B603DD" w:rsidRPr="00B603DD" w:rsidRDefault="00B603DD" w:rsidP="00B603DD">
            <w:pPr>
              <w:rPr>
                <w:rFonts w:ascii="Arial" w:eastAsia="Times New Roman" w:hAnsi="Arial" w:cs="Times New Roman"/>
                <w:color w:val="000000"/>
                <w:sz w:val="20"/>
                <w:szCs w:val="20"/>
              </w:rPr>
            </w:pPr>
            <w:r w:rsidRPr="00B603DD">
              <w:rPr>
                <w:rFonts w:ascii="Arial" w:eastAsia="Times New Roman" w:hAnsi="Arial" w:cs="Times New Roman"/>
                <w:color w:val="000000"/>
                <w:sz w:val="20"/>
                <w:szCs w:val="20"/>
              </w:rPr>
              <w:t>to "still in the done state".</w:t>
            </w:r>
            <w:r w:rsidRPr="00B603DD">
              <w:rPr>
                <w:rFonts w:ascii="Arial" w:eastAsia="Times New Roman" w:hAnsi="Arial" w:cs="Times New Roman"/>
                <w:color w:val="000000"/>
                <w:sz w:val="20"/>
                <w:szCs w:val="20"/>
              </w:rPr>
              <w:br/>
              <w:t>19) Section 4, first para, line 3: change to "as well as a basic"</w:t>
            </w:r>
            <w:r w:rsidRPr="00B603DD">
              <w:rPr>
                <w:rFonts w:ascii="Arial" w:eastAsia="Times New Roman" w:hAnsi="Arial" w:cs="Times New Roman"/>
                <w:color w:val="000000"/>
                <w:sz w:val="20"/>
                <w:szCs w:val="20"/>
              </w:rPr>
              <w:br/>
              <w:t>20) Section 4(b), first para, line 2: change to "is in the synchronisation"</w:t>
            </w:r>
            <w:r w:rsidRPr="00B603DD">
              <w:rPr>
                <w:rFonts w:ascii="Arial" w:eastAsia="Times New Roman" w:hAnsi="Arial" w:cs="Times New Roman"/>
                <w:color w:val="000000"/>
                <w:sz w:val="20"/>
                <w:szCs w:val="20"/>
              </w:rPr>
              <w:br/>
              <w:t>21) Section 4(b), third para, line 9: change to "suggests there are between 2 and 4"</w:t>
            </w:r>
            <w:r w:rsidRPr="00B603DD">
              <w:rPr>
                <w:rFonts w:ascii="Arial" w:eastAsia="Times New Roman" w:hAnsi="Arial" w:cs="Times New Roman"/>
                <w:color w:val="000000"/>
                <w:sz w:val="20"/>
                <w:szCs w:val="20"/>
              </w:rPr>
              <w:br/>
              <w:t>22) Section 4(b), third para, line 11: change to "increasing numbers of replicas".</w:t>
            </w:r>
            <w:r w:rsidRPr="00B603DD">
              <w:rPr>
                <w:rFonts w:ascii="Arial" w:eastAsia="Times New Roman" w:hAnsi="Arial" w:cs="Times New Roman"/>
                <w:color w:val="000000"/>
                <w:sz w:val="20"/>
                <w:szCs w:val="20"/>
              </w:rPr>
              <w:br/>
              <w:t>23) Section 4(c), first para, last line: change to "in these cases"</w:t>
            </w:r>
            <w:r w:rsidRPr="00B603DD">
              <w:rPr>
                <w:rFonts w:ascii="Arial" w:eastAsia="Times New Roman" w:hAnsi="Arial" w:cs="Times New Roman"/>
                <w:color w:val="000000"/>
                <w:sz w:val="20"/>
                <w:szCs w:val="20"/>
              </w:rPr>
              <w:br/>
              <w:t>24) Section 5(a), first para, last line: "the" is repeated"</w:t>
            </w:r>
            <w:r w:rsidRPr="00B603DD">
              <w:rPr>
                <w:rFonts w:ascii="Arial" w:eastAsia="Times New Roman" w:hAnsi="Arial" w:cs="Times New Roman"/>
                <w:color w:val="000000"/>
                <w:sz w:val="20"/>
                <w:szCs w:val="20"/>
              </w:rPr>
              <w:br/>
              <w:t>25) Section 5(a), second para, line 2: change to "exchanges to replicas"</w:t>
            </w:r>
            <w:r w:rsidRPr="00B603DD">
              <w:rPr>
                <w:rFonts w:ascii="Arial" w:eastAsia="Times New Roman" w:hAnsi="Arial" w:cs="Times New Roman"/>
                <w:color w:val="000000"/>
                <w:sz w:val="20"/>
                <w:szCs w:val="20"/>
              </w:rPr>
              <w:br/>
              <w:t>26) Section 5(a), last para, last line: "the" is repeated"</w:t>
            </w:r>
            <w:r w:rsidRPr="00B603DD">
              <w:rPr>
                <w:rFonts w:ascii="Arial" w:eastAsia="Times New Roman" w:hAnsi="Arial" w:cs="Times New Roman"/>
                <w:color w:val="000000"/>
                <w:sz w:val="20"/>
                <w:szCs w:val="20"/>
              </w:rPr>
              <w:br/>
              <w:t>27) Section 5(b), first para, line 1: change to "of the asynchronous"</w:t>
            </w:r>
            <w:r w:rsidRPr="00B603DD">
              <w:rPr>
                <w:rFonts w:ascii="Arial" w:eastAsia="Times New Roman" w:hAnsi="Arial" w:cs="Times New Roman"/>
                <w:color w:val="000000"/>
                <w:sz w:val="20"/>
                <w:szCs w:val="20"/>
              </w:rPr>
              <w:br/>
              <w:t>28) Section 6, first para, line 1: change to "Following theoretical underpinnings (Li and Parashar 2007, Gallicchio et al. 2008), in this paper..."</w:t>
            </w:r>
            <w:r w:rsidRPr="00B603DD">
              <w:rPr>
                <w:rFonts w:ascii="Arial" w:eastAsia="Times New Roman" w:hAnsi="Arial" w:cs="Times New Roman"/>
                <w:color w:val="000000"/>
                <w:sz w:val="20"/>
                <w:szCs w:val="20"/>
              </w:rPr>
              <w:br/>
              <w:t>29) Section 6, second para, line 2: change "enable" to "enables"</w:t>
            </w:r>
            <w:r w:rsidRPr="00B603DD">
              <w:rPr>
                <w:rFonts w:ascii="Arial" w:eastAsia="Times New Roman" w:hAnsi="Arial" w:cs="Times New Roman"/>
                <w:color w:val="000000"/>
                <w:sz w:val="20"/>
                <w:szCs w:val="20"/>
              </w:rPr>
              <w:br/>
              <w:t>30) Section 6, second para, line 5: change "out weight" to "outweigh".</w:t>
            </w:r>
          </w:p>
          <w:p w14:paraId="78269193" w14:textId="77777777" w:rsidR="00B603DD" w:rsidRDefault="00B603DD" w:rsidP="00B603DD">
            <w:pPr>
              <w:rPr>
                <w:rFonts w:ascii="Arial" w:eastAsia="Times New Roman" w:hAnsi="Arial" w:cs="Times New Roman"/>
                <w:color w:val="000000"/>
                <w:sz w:val="20"/>
                <w:szCs w:val="20"/>
              </w:rPr>
            </w:pPr>
          </w:p>
        </w:tc>
        <w:tc>
          <w:tcPr>
            <w:tcW w:w="4307" w:type="dxa"/>
            <w:vMerge/>
          </w:tcPr>
          <w:p w14:paraId="7AAB9E0C" w14:textId="77777777" w:rsidR="00B603DD" w:rsidRDefault="00B603DD" w:rsidP="00B603DD"/>
        </w:tc>
      </w:tr>
    </w:tbl>
    <w:p w14:paraId="08DC084E" w14:textId="77777777" w:rsidR="00B603DD" w:rsidRDefault="00B603DD"/>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
        <w:gridCol w:w="4680"/>
        <w:gridCol w:w="4307"/>
      </w:tblGrid>
      <w:tr w:rsidR="00B603DD" w14:paraId="61E6EA04" w14:textId="77777777" w:rsidTr="00607DC7">
        <w:trPr>
          <w:trHeight w:val="425"/>
        </w:trPr>
        <w:tc>
          <w:tcPr>
            <w:tcW w:w="733" w:type="dxa"/>
          </w:tcPr>
          <w:p w14:paraId="7C37413E" w14:textId="77777777" w:rsidR="00B603DD" w:rsidRDefault="00B603DD" w:rsidP="00607DC7">
            <w:r>
              <w:t>No.</w:t>
            </w:r>
          </w:p>
        </w:tc>
        <w:tc>
          <w:tcPr>
            <w:tcW w:w="4680" w:type="dxa"/>
          </w:tcPr>
          <w:p w14:paraId="6ECEEE77" w14:textId="77777777" w:rsidR="00B603DD" w:rsidRDefault="00B603DD" w:rsidP="00607DC7">
            <w:r>
              <w:t>Reviewer Two’s Comments</w:t>
            </w:r>
          </w:p>
        </w:tc>
        <w:tc>
          <w:tcPr>
            <w:tcW w:w="4307" w:type="dxa"/>
          </w:tcPr>
          <w:p w14:paraId="139F50AE" w14:textId="77777777" w:rsidR="00B603DD" w:rsidRDefault="00B603DD" w:rsidP="00607DC7">
            <w:r>
              <w:t>Action Taken</w:t>
            </w:r>
          </w:p>
        </w:tc>
      </w:tr>
      <w:tr w:rsidR="00B603DD" w14:paraId="06AFCDB3" w14:textId="77777777" w:rsidTr="00607DC7">
        <w:trPr>
          <w:trHeight w:val="1787"/>
        </w:trPr>
        <w:tc>
          <w:tcPr>
            <w:tcW w:w="733" w:type="dxa"/>
          </w:tcPr>
          <w:p w14:paraId="72AC8E3E" w14:textId="77777777" w:rsidR="00B603DD" w:rsidRDefault="00B603DD" w:rsidP="00607DC7">
            <w:r>
              <w:t>1.</w:t>
            </w:r>
          </w:p>
        </w:tc>
        <w:tc>
          <w:tcPr>
            <w:tcW w:w="4680" w:type="dxa"/>
          </w:tcPr>
          <w:p w14:paraId="60D9C4DA" w14:textId="77777777" w:rsidR="00B603DD" w:rsidRDefault="00B603DD" w:rsidP="00607DC7">
            <w:r>
              <w:t>I</w:t>
            </w:r>
            <w:r w:rsidRPr="00B603DD">
              <w:t>t would be useful for the authors to compare the replica exchange application,</w:t>
            </w:r>
            <w:r w:rsidRPr="00B603DD">
              <w:br/>
              <w:t>as disussed here, with the general class of "parameter sweep" application --</w:t>
            </w:r>
            <w:r w:rsidRPr="00B603DD">
              <w:br/>
              <w:t>where some synchronisation may also be required</w:t>
            </w:r>
            <w:r>
              <w:t>.</w:t>
            </w:r>
          </w:p>
          <w:p w14:paraId="1D61C16E" w14:textId="77777777" w:rsidR="00B603DD" w:rsidRDefault="00B603DD" w:rsidP="00607DC7"/>
        </w:tc>
        <w:tc>
          <w:tcPr>
            <w:tcW w:w="4307" w:type="dxa"/>
          </w:tcPr>
          <w:p w14:paraId="4A465175" w14:textId="77777777" w:rsidR="00B603DD" w:rsidRDefault="00B603DD" w:rsidP="00607DC7">
            <w:r>
              <w:t>We compared the applications in section 2 (b).</w:t>
            </w:r>
          </w:p>
        </w:tc>
      </w:tr>
      <w:tr w:rsidR="00607DC7" w14:paraId="77FF7B50" w14:textId="77777777" w:rsidTr="00607DC7">
        <w:trPr>
          <w:trHeight w:val="527"/>
        </w:trPr>
        <w:tc>
          <w:tcPr>
            <w:tcW w:w="733" w:type="dxa"/>
          </w:tcPr>
          <w:p w14:paraId="2172F77D" w14:textId="77777777" w:rsidR="00607DC7" w:rsidRDefault="00607DC7" w:rsidP="00607DC7">
            <w:r>
              <w:t>2.</w:t>
            </w:r>
          </w:p>
          <w:p w14:paraId="528D375F" w14:textId="77777777" w:rsidR="00607DC7" w:rsidRDefault="00607DC7" w:rsidP="00607DC7"/>
        </w:tc>
        <w:tc>
          <w:tcPr>
            <w:tcW w:w="4680" w:type="dxa"/>
          </w:tcPr>
          <w:p w14:paraId="0E9223DD" w14:textId="77777777" w:rsidR="00607DC7" w:rsidRPr="00B603DD" w:rsidRDefault="00607DC7" w:rsidP="00607DC7">
            <w:r w:rsidRPr="00B603DD">
              <w:t>The time calculation in equation 2.2 needs further elaboration. Parameters</w:t>
            </w:r>
            <w:r w:rsidRPr="00B603DD">
              <w:br/>
              <w:t>such as T_ex, T_mgmt are not clear. For instance, the mention of an</w:t>
            </w:r>
            <w:r w:rsidRPr="00B603DD">
              <w:br/>
              <w:t>"advert-server" is surely an implementation detail? In particular, the authors</w:t>
            </w:r>
            <w:r w:rsidRPr="00B603DD">
              <w:br/>
              <w:t>should comment on whether such a simple linear combination is an effective</w:t>
            </w:r>
            <w:r w:rsidRPr="00B603DD">
              <w:br/>
              <w:t>representation of reality -- given that many of these operations are being</w:t>
            </w:r>
            <w:r w:rsidRPr="00B603DD">
              <w:br/>
              <w:t>performed over a distributed environment.</w:t>
            </w:r>
          </w:p>
          <w:p w14:paraId="17767B6D" w14:textId="77777777" w:rsidR="00607DC7" w:rsidRDefault="00607DC7" w:rsidP="00607DC7"/>
          <w:p w14:paraId="3769C988" w14:textId="77777777" w:rsidR="00607DC7" w:rsidRDefault="00607DC7" w:rsidP="00607DC7"/>
        </w:tc>
        <w:tc>
          <w:tcPr>
            <w:tcW w:w="4307" w:type="dxa"/>
          </w:tcPr>
          <w:p w14:paraId="70654470" w14:textId="77777777" w:rsidR="00607DC7" w:rsidRDefault="009F36D6" w:rsidP="00607DC7">
            <w:r>
              <w:t>We changed the terminology/sym</w:t>
            </w:r>
            <w:r w:rsidR="00607DC7">
              <w:t>bols used and explained the equation better. Removed reference to advert-server from this section. We explained the effect of distribution on the terms in equation 2.2 in section 5 (b).</w:t>
            </w:r>
          </w:p>
        </w:tc>
      </w:tr>
      <w:tr w:rsidR="00607DC7" w14:paraId="3B566063" w14:textId="77777777" w:rsidTr="00607DC7">
        <w:trPr>
          <w:trHeight w:val="874"/>
        </w:trPr>
        <w:tc>
          <w:tcPr>
            <w:tcW w:w="733" w:type="dxa"/>
          </w:tcPr>
          <w:p w14:paraId="1F2AAB5E" w14:textId="77777777" w:rsidR="00607DC7" w:rsidRDefault="00607DC7" w:rsidP="00607DC7">
            <w:r>
              <w:t>3.</w:t>
            </w:r>
          </w:p>
        </w:tc>
        <w:tc>
          <w:tcPr>
            <w:tcW w:w="4680" w:type="dxa"/>
          </w:tcPr>
          <w:p w14:paraId="42FD0000" w14:textId="77777777" w:rsidR="00607DC7" w:rsidRDefault="00607DC7" w:rsidP="00607DC7">
            <w:r w:rsidRPr="00607DC7">
              <w:t>What is the "Metropolis scheme" -- give reference or explain.</w:t>
            </w:r>
          </w:p>
        </w:tc>
        <w:tc>
          <w:tcPr>
            <w:tcW w:w="4307" w:type="dxa"/>
          </w:tcPr>
          <w:p w14:paraId="7EF5EB72" w14:textId="77777777" w:rsidR="00607DC7" w:rsidRDefault="009F36D6" w:rsidP="00607DC7">
            <w:r>
              <w:t>We referenced</w:t>
            </w:r>
            <w:r w:rsidR="00607DC7">
              <w:t xml:space="preserve"> this in section 2(a).</w:t>
            </w:r>
          </w:p>
        </w:tc>
      </w:tr>
      <w:tr w:rsidR="00607DC7" w14:paraId="133E4044" w14:textId="77777777" w:rsidTr="00607DC7">
        <w:trPr>
          <w:trHeight w:val="2468"/>
        </w:trPr>
        <w:tc>
          <w:tcPr>
            <w:tcW w:w="733" w:type="dxa"/>
          </w:tcPr>
          <w:p w14:paraId="7BBC860F" w14:textId="77777777" w:rsidR="00607DC7" w:rsidRDefault="00607DC7" w:rsidP="00607DC7">
            <w:r>
              <w:t>4.</w:t>
            </w:r>
          </w:p>
        </w:tc>
        <w:tc>
          <w:tcPr>
            <w:tcW w:w="4680" w:type="dxa"/>
          </w:tcPr>
          <w:p w14:paraId="0A6FF453" w14:textId="77777777" w:rsidR="00607DC7" w:rsidRPr="00607DC7" w:rsidRDefault="00607DC7" w:rsidP="00607DC7">
            <w:r w:rsidRPr="00607DC7">
              <w:t>The advert service (in section 3(a)) needs further discussion. What is an</w:t>
            </w:r>
            <w:r w:rsidRPr="00607DC7">
              <w:br/>
              <w:t>advert in this context. Also how is a key/value pair generated. What does it</w:t>
            </w:r>
            <w:r w:rsidRPr="00607DC7">
              <w:br/>
              <w:t>mean in this context. Is this similar to a DHT in a peer-2-peer system? In</w:t>
            </w:r>
            <w:r w:rsidRPr="00607DC7">
              <w:br/>
              <w:t>particular, the authors should explain how a job is described -- and</w:t>
            </w:r>
            <w:r w:rsidRPr="00607DC7">
              <w:br/>
              <w:t>subsequently matched.</w:t>
            </w:r>
          </w:p>
        </w:tc>
        <w:tc>
          <w:tcPr>
            <w:tcW w:w="4307" w:type="dxa"/>
          </w:tcPr>
          <w:p w14:paraId="03FCC5D5" w14:textId="77777777" w:rsidR="00607DC7" w:rsidRDefault="009F36D6" w:rsidP="00607DC7">
            <w:r>
              <w:t>We addressed this is section 3(a).</w:t>
            </w:r>
          </w:p>
        </w:tc>
      </w:tr>
      <w:tr w:rsidR="00607DC7" w14:paraId="6A685342" w14:textId="77777777" w:rsidTr="00607DC7">
        <w:trPr>
          <w:trHeight w:val="617"/>
        </w:trPr>
        <w:tc>
          <w:tcPr>
            <w:tcW w:w="733" w:type="dxa"/>
          </w:tcPr>
          <w:p w14:paraId="563439E8" w14:textId="77777777" w:rsidR="00607DC7" w:rsidRDefault="00607DC7" w:rsidP="00607DC7">
            <w:r>
              <w:t>5.</w:t>
            </w:r>
          </w:p>
        </w:tc>
        <w:tc>
          <w:tcPr>
            <w:tcW w:w="4680" w:type="dxa"/>
          </w:tcPr>
          <w:p w14:paraId="2C9E64E1" w14:textId="77777777" w:rsidR="00607DC7" w:rsidRPr="00607DC7" w:rsidRDefault="00607DC7" w:rsidP="00607DC7">
            <w:r w:rsidRPr="00607DC7">
              <w:t>In section 3b(ii) -- what is "MD"? It seems that even in the decentralized</w:t>
            </w:r>
            <w:r w:rsidRPr="00607DC7">
              <w:br/>
              <w:t>case, the advert service is still centralized? Are there issues of latency</w:t>
            </w:r>
            <w:r w:rsidRPr="00607DC7">
              <w:br/>
              <w:t>when accessing the advert service or keeping it consistent?</w:t>
            </w:r>
          </w:p>
          <w:p w14:paraId="5390DF48" w14:textId="77777777" w:rsidR="00607DC7" w:rsidRPr="00607DC7" w:rsidRDefault="00607DC7" w:rsidP="00607DC7"/>
        </w:tc>
        <w:tc>
          <w:tcPr>
            <w:tcW w:w="4307" w:type="dxa"/>
          </w:tcPr>
          <w:p w14:paraId="77D2BB4C" w14:textId="77777777" w:rsidR="00607DC7" w:rsidRDefault="009F36D6" w:rsidP="00607DC7">
            <w:r>
              <w:t>We referenced MD in section 2 (b), and addressed the issues of advert server and latency in section 3(b)(ii).</w:t>
            </w:r>
          </w:p>
        </w:tc>
      </w:tr>
    </w:tbl>
    <w:p w14:paraId="3F4F0689" w14:textId="77777777" w:rsidR="00B603DD" w:rsidRDefault="00B603DD"/>
    <w:sectPr w:rsidR="00B603DD" w:rsidSect="009C10E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3DD"/>
    <w:rsid w:val="000868FF"/>
    <w:rsid w:val="00607DC7"/>
    <w:rsid w:val="009C10E0"/>
    <w:rsid w:val="009F36D6"/>
    <w:rsid w:val="00B603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9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2810">
      <w:bodyDiv w:val="1"/>
      <w:marLeft w:val="0"/>
      <w:marRight w:val="0"/>
      <w:marTop w:val="0"/>
      <w:marBottom w:val="0"/>
      <w:divBdr>
        <w:top w:val="none" w:sz="0" w:space="0" w:color="auto"/>
        <w:left w:val="none" w:sz="0" w:space="0" w:color="auto"/>
        <w:bottom w:val="none" w:sz="0" w:space="0" w:color="auto"/>
        <w:right w:val="none" w:sz="0" w:space="0" w:color="auto"/>
      </w:divBdr>
    </w:div>
    <w:div w:id="481896883">
      <w:bodyDiv w:val="1"/>
      <w:marLeft w:val="0"/>
      <w:marRight w:val="0"/>
      <w:marTop w:val="0"/>
      <w:marBottom w:val="0"/>
      <w:divBdr>
        <w:top w:val="none" w:sz="0" w:space="0" w:color="auto"/>
        <w:left w:val="none" w:sz="0" w:space="0" w:color="auto"/>
        <w:bottom w:val="none" w:sz="0" w:space="0" w:color="auto"/>
        <w:right w:val="none" w:sz="0" w:space="0" w:color="auto"/>
      </w:divBdr>
    </w:div>
    <w:div w:id="538473099">
      <w:bodyDiv w:val="1"/>
      <w:marLeft w:val="0"/>
      <w:marRight w:val="0"/>
      <w:marTop w:val="0"/>
      <w:marBottom w:val="0"/>
      <w:divBdr>
        <w:top w:val="none" w:sz="0" w:space="0" w:color="auto"/>
        <w:left w:val="none" w:sz="0" w:space="0" w:color="auto"/>
        <w:bottom w:val="none" w:sz="0" w:space="0" w:color="auto"/>
        <w:right w:val="none" w:sz="0" w:space="0" w:color="auto"/>
      </w:divBdr>
    </w:div>
    <w:div w:id="545723306">
      <w:bodyDiv w:val="1"/>
      <w:marLeft w:val="0"/>
      <w:marRight w:val="0"/>
      <w:marTop w:val="0"/>
      <w:marBottom w:val="0"/>
      <w:divBdr>
        <w:top w:val="none" w:sz="0" w:space="0" w:color="auto"/>
        <w:left w:val="none" w:sz="0" w:space="0" w:color="auto"/>
        <w:bottom w:val="none" w:sz="0" w:space="0" w:color="auto"/>
        <w:right w:val="none" w:sz="0" w:space="0" w:color="auto"/>
      </w:divBdr>
    </w:div>
    <w:div w:id="767316985">
      <w:bodyDiv w:val="1"/>
      <w:marLeft w:val="0"/>
      <w:marRight w:val="0"/>
      <w:marTop w:val="0"/>
      <w:marBottom w:val="0"/>
      <w:divBdr>
        <w:top w:val="none" w:sz="0" w:space="0" w:color="auto"/>
        <w:left w:val="none" w:sz="0" w:space="0" w:color="auto"/>
        <w:bottom w:val="none" w:sz="0" w:space="0" w:color="auto"/>
        <w:right w:val="none" w:sz="0" w:space="0" w:color="auto"/>
      </w:divBdr>
    </w:div>
    <w:div w:id="805657508">
      <w:bodyDiv w:val="1"/>
      <w:marLeft w:val="0"/>
      <w:marRight w:val="0"/>
      <w:marTop w:val="0"/>
      <w:marBottom w:val="0"/>
      <w:divBdr>
        <w:top w:val="none" w:sz="0" w:space="0" w:color="auto"/>
        <w:left w:val="none" w:sz="0" w:space="0" w:color="auto"/>
        <w:bottom w:val="none" w:sz="0" w:space="0" w:color="auto"/>
        <w:right w:val="none" w:sz="0" w:space="0" w:color="auto"/>
      </w:divBdr>
    </w:div>
    <w:div w:id="911936783">
      <w:bodyDiv w:val="1"/>
      <w:marLeft w:val="0"/>
      <w:marRight w:val="0"/>
      <w:marTop w:val="0"/>
      <w:marBottom w:val="0"/>
      <w:divBdr>
        <w:top w:val="none" w:sz="0" w:space="0" w:color="auto"/>
        <w:left w:val="none" w:sz="0" w:space="0" w:color="auto"/>
        <w:bottom w:val="none" w:sz="0" w:space="0" w:color="auto"/>
        <w:right w:val="none" w:sz="0" w:space="0" w:color="auto"/>
      </w:divBdr>
    </w:div>
    <w:div w:id="1110973265">
      <w:bodyDiv w:val="1"/>
      <w:marLeft w:val="0"/>
      <w:marRight w:val="0"/>
      <w:marTop w:val="0"/>
      <w:marBottom w:val="0"/>
      <w:divBdr>
        <w:top w:val="none" w:sz="0" w:space="0" w:color="auto"/>
        <w:left w:val="none" w:sz="0" w:space="0" w:color="auto"/>
        <w:bottom w:val="none" w:sz="0" w:space="0" w:color="auto"/>
        <w:right w:val="none" w:sz="0" w:space="0" w:color="auto"/>
      </w:divBdr>
    </w:div>
    <w:div w:id="1163012974">
      <w:bodyDiv w:val="1"/>
      <w:marLeft w:val="0"/>
      <w:marRight w:val="0"/>
      <w:marTop w:val="0"/>
      <w:marBottom w:val="0"/>
      <w:divBdr>
        <w:top w:val="none" w:sz="0" w:space="0" w:color="auto"/>
        <w:left w:val="none" w:sz="0" w:space="0" w:color="auto"/>
        <w:bottom w:val="none" w:sz="0" w:space="0" w:color="auto"/>
        <w:right w:val="none" w:sz="0" w:space="0" w:color="auto"/>
      </w:divBdr>
    </w:div>
    <w:div w:id="1184513352">
      <w:bodyDiv w:val="1"/>
      <w:marLeft w:val="0"/>
      <w:marRight w:val="0"/>
      <w:marTop w:val="0"/>
      <w:marBottom w:val="0"/>
      <w:divBdr>
        <w:top w:val="none" w:sz="0" w:space="0" w:color="auto"/>
        <w:left w:val="none" w:sz="0" w:space="0" w:color="auto"/>
        <w:bottom w:val="none" w:sz="0" w:space="0" w:color="auto"/>
        <w:right w:val="none" w:sz="0" w:space="0" w:color="auto"/>
      </w:divBdr>
    </w:div>
    <w:div w:id="1196116201">
      <w:bodyDiv w:val="1"/>
      <w:marLeft w:val="0"/>
      <w:marRight w:val="0"/>
      <w:marTop w:val="0"/>
      <w:marBottom w:val="0"/>
      <w:divBdr>
        <w:top w:val="none" w:sz="0" w:space="0" w:color="auto"/>
        <w:left w:val="none" w:sz="0" w:space="0" w:color="auto"/>
        <w:bottom w:val="none" w:sz="0" w:space="0" w:color="auto"/>
        <w:right w:val="none" w:sz="0" w:space="0" w:color="auto"/>
      </w:divBdr>
    </w:div>
    <w:div w:id="1201014024">
      <w:bodyDiv w:val="1"/>
      <w:marLeft w:val="0"/>
      <w:marRight w:val="0"/>
      <w:marTop w:val="0"/>
      <w:marBottom w:val="0"/>
      <w:divBdr>
        <w:top w:val="none" w:sz="0" w:space="0" w:color="auto"/>
        <w:left w:val="none" w:sz="0" w:space="0" w:color="auto"/>
        <w:bottom w:val="none" w:sz="0" w:space="0" w:color="auto"/>
        <w:right w:val="none" w:sz="0" w:space="0" w:color="auto"/>
      </w:divBdr>
    </w:div>
    <w:div w:id="1284073539">
      <w:bodyDiv w:val="1"/>
      <w:marLeft w:val="0"/>
      <w:marRight w:val="0"/>
      <w:marTop w:val="0"/>
      <w:marBottom w:val="0"/>
      <w:divBdr>
        <w:top w:val="none" w:sz="0" w:space="0" w:color="auto"/>
        <w:left w:val="none" w:sz="0" w:space="0" w:color="auto"/>
        <w:bottom w:val="none" w:sz="0" w:space="0" w:color="auto"/>
        <w:right w:val="none" w:sz="0" w:space="0" w:color="auto"/>
      </w:divBdr>
    </w:div>
    <w:div w:id="1399402188">
      <w:bodyDiv w:val="1"/>
      <w:marLeft w:val="0"/>
      <w:marRight w:val="0"/>
      <w:marTop w:val="0"/>
      <w:marBottom w:val="0"/>
      <w:divBdr>
        <w:top w:val="none" w:sz="0" w:space="0" w:color="auto"/>
        <w:left w:val="none" w:sz="0" w:space="0" w:color="auto"/>
        <w:bottom w:val="none" w:sz="0" w:space="0" w:color="auto"/>
        <w:right w:val="none" w:sz="0" w:space="0" w:color="auto"/>
      </w:divBdr>
    </w:div>
    <w:div w:id="1463187495">
      <w:bodyDiv w:val="1"/>
      <w:marLeft w:val="0"/>
      <w:marRight w:val="0"/>
      <w:marTop w:val="0"/>
      <w:marBottom w:val="0"/>
      <w:divBdr>
        <w:top w:val="none" w:sz="0" w:space="0" w:color="auto"/>
        <w:left w:val="none" w:sz="0" w:space="0" w:color="auto"/>
        <w:bottom w:val="none" w:sz="0" w:space="0" w:color="auto"/>
        <w:right w:val="none" w:sz="0" w:space="0" w:color="auto"/>
      </w:divBdr>
    </w:div>
    <w:div w:id="1766266822">
      <w:bodyDiv w:val="1"/>
      <w:marLeft w:val="0"/>
      <w:marRight w:val="0"/>
      <w:marTop w:val="0"/>
      <w:marBottom w:val="0"/>
      <w:divBdr>
        <w:top w:val="none" w:sz="0" w:space="0" w:color="auto"/>
        <w:left w:val="none" w:sz="0" w:space="0" w:color="auto"/>
        <w:bottom w:val="none" w:sz="0" w:space="0" w:color="auto"/>
        <w:right w:val="none" w:sz="0" w:space="0" w:color="auto"/>
      </w:divBdr>
    </w:div>
    <w:div w:id="1797483827">
      <w:bodyDiv w:val="1"/>
      <w:marLeft w:val="0"/>
      <w:marRight w:val="0"/>
      <w:marTop w:val="0"/>
      <w:marBottom w:val="0"/>
      <w:divBdr>
        <w:top w:val="none" w:sz="0" w:space="0" w:color="auto"/>
        <w:left w:val="none" w:sz="0" w:space="0" w:color="auto"/>
        <w:bottom w:val="none" w:sz="0" w:space="0" w:color="auto"/>
        <w:right w:val="none" w:sz="0" w:space="0" w:color="auto"/>
      </w:divBdr>
    </w:div>
    <w:div w:id="1812483425">
      <w:bodyDiv w:val="1"/>
      <w:marLeft w:val="0"/>
      <w:marRight w:val="0"/>
      <w:marTop w:val="0"/>
      <w:marBottom w:val="0"/>
      <w:divBdr>
        <w:top w:val="none" w:sz="0" w:space="0" w:color="auto"/>
        <w:left w:val="none" w:sz="0" w:space="0" w:color="auto"/>
        <w:bottom w:val="none" w:sz="0" w:space="0" w:color="auto"/>
        <w:right w:val="none" w:sz="0" w:space="0" w:color="auto"/>
      </w:divBdr>
    </w:div>
    <w:div w:id="1857304705">
      <w:bodyDiv w:val="1"/>
      <w:marLeft w:val="0"/>
      <w:marRight w:val="0"/>
      <w:marTop w:val="0"/>
      <w:marBottom w:val="0"/>
      <w:divBdr>
        <w:top w:val="none" w:sz="0" w:space="0" w:color="auto"/>
        <w:left w:val="none" w:sz="0" w:space="0" w:color="auto"/>
        <w:bottom w:val="none" w:sz="0" w:space="0" w:color="auto"/>
        <w:right w:val="none" w:sz="0" w:space="0" w:color="auto"/>
      </w:divBdr>
    </w:div>
    <w:div w:id="202278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777</Words>
  <Characters>4429</Characters>
  <Application>Microsoft Macintosh Word</Application>
  <DocSecurity>0</DocSecurity>
  <Lines>36</Lines>
  <Paragraphs>10</Paragraphs>
  <ScaleCrop>false</ScaleCrop>
  <Company>Center for Computation and Technology</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athota1</dc:creator>
  <cp:keywords/>
  <dc:description/>
  <cp:lastModifiedBy>athota1</cp:lastModifiedBy>
  <cp:revision>2</cp:revision>
  <dcterms:created xsi:type="dcterms:W3CDTF">2011-03-21T19:33:00Z</dcterms:created>
  <dcterms:modified xsi:type="dcterms:W3CDTF">2011-03-22T05:13:00Z</dcterms:modified>
</cp:coreProperties>
</file>