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NJR01_U02_Objectives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مقررات إلكترونية –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2: الذهنية الرقمية وممارسات الابتكار التقني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الاهداف التعليمية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شاشة توضيحية للانفوجرافيك</w:t>
            </w:r>
          </w:p>
        </w:tc>
        <w:tc>
          <w:tcPr>
            <w:tcW w:type="dxa" w:w="1116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الاهداف التعليمية للوحدة الثانية: الذهنية الرقمية وممارسات الابتكار التقني</w:t>
              <w:br/>
              <w:br/>
              <w:t>1. (تذكر) ان يعدد المتعلم عناصر الابتكار الثلاثة وتقنيات العصف الذهني الاساسية</w:t>
              <w:br/>
              <w:t xml:space="preserve">   الموضوع: ما هو الابتكار / اهمية توليد الافكار</w:t>
              <w:br/>
              <w:br/>
              <w:t>2. (فهم) ان يوضح المتعلم مفهوم ريادة الاعمال وعلاقتها بالابتكار التقني مع بيان المتطلبات العقلية لرائد الاعمال</w:t>
              <w:br/>
              <w:t xml:space="preserve">   الموضوع: ما هي ريادة الاعمال / عقلية الابتكار التقني</w:t>
              <w:br/>
              <w:br/>
              <w:t>3. (فهم) ان يشرح المتعلم المراحل الخمس للتفكير التصميمي ودور كل مرحلة في حل المشكلات</w:t>
              <w:br/>
              <w:t xml:space="preserve">   الموضوع: التفكير التصميمي</w:t>
              <w:br/>
              <w:br/>
              <w:t>4. (تطبيق) ان يطبق المتعلم طريقة SCAMPER لتوليد افكار ابداعية جديدة انطلاقا من منتج او خدمة قائمة</w:t>
              <w:br/>
              <w:t xml:space="preserve">   الموضوع: اهمية توليد الافكار / تقنيات العصف الذهني</w:t>
              <w:br/>
              <w:br/>
              <w:t>5. (تطبيق) ان يستخدم المتعلم مراحل التفكير التصميمي لتحديد احتياجات المستخدم وبناء نموذج اولي لحل مشكلة رقمية واقعية</w:t>
              <w:br/>
              <w:t xml:space="preserve">   الموضوع: التفكير التصميمي / النمذجة والتجريب</w:t>
              <w:br/>
              <w:br/>
              <w:t>6. (تحليل) ان يحلل المتعلم العلاقة بين التكنولوجيا وملاءمة السوق ويميز بين انواع النماذج الاولية واستخداماتها</w:t>
              <w:br/>
              <w:t xml:space="preserve">   الموضوع: التكنولوجيا وملاءمة السوق</w:t>
              <w:br/>
              <w:br/>
              <w:t>7. (تقييم) ان يقيم المتعلم فرص العمل الريادية بناء على معايير احتياجات العملاء ودراسة الجدوى وقابلية التوسع</w:t>
              <w:br/>
              <w:t xml:space="preserve">   الموضوع: المرونة والتكيف / التغلب على تحديات الابتكار</w:t>
              <w:br/>
              <w:br/>
              <w:t>8. (ابداع) ان يصمم المتعلم حلا ابتكاريا لمشكلة رقمية واقعية باستخدام مراحل التفكير التصميمي وادوات العقلية الريادية</w:t>
              <w:br/>
              <w:t xml:space="preserve">   الموضوع: بناء عقلية ريادية / التفكير التصميمي</w:t>
              <w:br/>
              <w:br/>
              <w:t>توزيع مستويات بلوم:</w:t>
              <w:br/>
              <w:t>تذكر: 1 | فهم: 2 | تطبيق: 2 | تحليل: 1 | تقييم: 1 | ابداع: 1</w:t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مصادر الصور (إن وجدت(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الوصف التفصيلي للشاشة إن لزم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