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DSAI_U01_Learning_Map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خارطة التعلم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للانفوجرافيك</w:t>
            </w:r>
          </w:p>
        </w:tc>
        <w:tc>
          <w:tcPr>
            <w:tcW w:type="dxa" w:w="1116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لتحقيق الأهداف التعليمية الخاصة بهذه المحاضرة، يرجى اتباع الخطوات التالية:</w:t>
              <w:br/>
              <w:t>1. مشاهدة فيديو المقدمة</w:t>
              <w:br/>
              <w:t>2. قراءة المحاضرة التفاعلية</w:t>
              <w:br/>
              <w:t>3. إكمال الأنشطة التفاعلية</w:t>
              <w:br/>
              <w:t>4. المشاركة في النقاش</w:t>
              <w:br/>
              <w:t>5. حل الاختبار البعدي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مصادر الصور (إن وجدت(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أيقونة اختبار</w:t>
              <w:br/>
              <w:t>أيقونة محتوى تعليمي</w:t>
              <w:br/>
              <w:t>أيقونة نقاش</w:t>
              <w:br/>
              <w:t>أيقونة حل واجب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الوصف التفصيلي للشاشة إن لزم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