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과제 달성 조건 4: 바다는 투명하게 처리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관련 파일: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과제_D3D12/Chapter 12 The Geometry Shader/TreeBillboards/ShaderManager.cpp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과제_D3D12/Chapter 12 The Geometry Shader/TreeBillboards/RenderItemManager.cpp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작업 내용: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ShaderManager에서 바다 렌더링에 사용할 파이프라인 상태 객체(PSO)를 구성할 때, 렌더 타겟의 BlendEnable = true로 설정하고 SrcBlend = D3D12_BLEND_SRC_ALPHA, DestBlend = D3D12_BLEND_INV_SRC_ALPHA를 사용하여 알파 블렌딩(Alpha Blending)을 활성화했습니다.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바다 메쉬에 적용되는 머티리얼의 DiffuseAlbedo 알파(a) 값을 1.0 미만(투명)으로 설정했습니다.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RenderItemManager에서 바다 오브젝트를 RenderLayer::Transparent 그룹으로 분류하여, Opaque(불투명 지형) 요소가 모두 그려진 이후 후순위로 렌더링되게 하여 Z-버퍼와 블렌딩 연산이 정상적으로 수행되도록 제어했습니다.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