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NT219 — Week 4 Student Handbook: Modern Symmetric Ciphers</w:t>
      </w:r>
    </w:p>
    <w:p>
      <w:pPr>
        <w:pStyle w:val="BodyText"/>
      </w:pPr>
      <w:r>
        <w:t xml:space="preserve">Course: NT219 — Cryptography • Week 4</w:t>
      </w:r>
      <w:r>
        <w:t xml:space="preserve"> </w:t>
      </w:r>
      <w:r>
        <w:t xml:space="preserve">Lecturer: PhD. Ngoc‑Tu Nguyen • Email: tunn@uit.edu.vn</w:t>
      </w:r>
      <w:r>
        <w:t xml:space="preserve"> </w:t>
      </w:r>
      <w:r>
        <w:t xml:space="preserve">Date: September 28,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to use this handbook</w:t>
      </w:r>
      <w:r>
        <w:t xml:space="preserve"> </w:t>
      </w:r>
      <w:r>
        <w:t xml:space="preserve">- 📝 Notes lines: fill during lecture.</w:t>
      </w:r>
      <w:r>
        <w:t xml:space="preserve"> </w:t>
      </w:r>
      <w:r>
        <w:t xml:space="preserve">- ⚠️ Pitfalls: common mistakes to avoid.</w:t>
      </w:r>
      <w:r>
        <w:t xml:space="preserve"> </w:t>
      </w:r>
      <w:r>
        <w:t xml:space="preserve">- ✅ Quick checks: 20–30s self‑tests.</w:t>
      </w:r>
      <w:r>
        <w:t xml:space="preserve"> </w:t>
      </w:r>
      <w:r>
        <w:t xml:space="preserve">- 💡 Intuition: mental models.</w:t>
      </w:r>
      <w:r>
        <w:t xml:space="preserve"> </w:t>
      </w:r>
      <w:r>
        <w:t xml:space="preserve">- 🔎 Slides: indicates the slide(s) from the lecture deck this section summarizes (approx).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Foundations (Slides 3–4)</w:t>
      </w:r>
    </w:p>
    <w:p>
      <w:pPr>
        <w:pStyle w:val="Compact"/>
        <w:numPr>
          <w:ilvl w:val="0"/>
          <w:numId w:val="1002"/>
        </w:numPr>
      </w:pPr>
      <w:r>
        <w:t xml:space="preserve">Cryptology = Cryptography + Cryptanalysis</w:t>
      </w:r>
    </w:p>
    <w:p>
      <w:pPr>
        <w:pStyle w:val="Compact"/>
        <w:numPr>
          <w:ilvl w:val="0"/>
          <w:numId w:val="1002"/>
        </w:numPr>
      </w:pPr>
      <w:r>
        <w:t xml:space="preserve">Security Properties: Confidentiality, Integrity, Authentication, Non-repudiation, Availability, Privacy</w:t>
      </w:r>
    </w:p>
    <w:p>
      <w:pPr>
        <w:pStyle w:val="FirstParagraph"/>
      </w:pPr>
      <w:r>
        <w:t xml:space="preserve">Primitives:</w:t>
      </w:r>
      <w:r>
        <w:t xml:space="preserve"> </w:t>
      </w:r>
      <w:r>
        <w:t xml:space="preserve">- Encryption: Symmetric (AES, ChaCha20), Asymmetric (RSA, ECC, CRYSTALS-KYBER)</w:t>
      </w:r>
      <w:r>
        <w:t xml:space="preserve"> </w:t>
      </w:r>
      <w:r>
        <w:t xml:space="preserve">- Integrity &amp; Authentication: Hash (SHA-2, SHA-3), MAC (HMAC, CMAC)</w:t>
      </w:r>
      <w:r>
        <w:t xml:space="preserve"> </w:t>
      </w:r>
      <w:r>
        <w:t xml:space="preserve">- Authentication &amp; Non-repudiation: Digital signatures (RSA, ECDSA, Dilithium), Certificates (PKI)</w:t>
      </w:r>
      <w:r>
        <w:t xml:space="preserve"> </w:t>
      </w:r>
      <w:r>
        <w:t xml:space="preserve">- Key Establishment: DH, ECDH, KEMs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Classical Ciphers &amp; Cryptanalysis (Slides 5–14)</w:t>
      </w:r>
    </w:p>
    <w:p>
      <w:pPr>
        <w:pStyle w:val="FirstParagraph"/>
      </w:pPr>
      <w:r>
        <w:t xml:space="preserve">2.1 Classical cipher families:</w:t>
      </w:r>
      <w:r>
        <w:t xml:space="preserve"> </w:t>
      </w:r>
      <w:r>
        <w:t xml:space="preserve">- Substitution: monoalphabetic (Caesar), polyalphabetic (Vigenère), polygraphic (Hill, Playfair)</w:t>
      </w:r>
      <w:r>
        <w:t xml:space="preserve"> </w:t>
      </w:r>
      <w:r>
        <w:t xml:space="preserve">- Transposition: Rail fence, Columnar</w:t>
      </w:r>
    </w:p>
    <w:p>
      <w:pPr>
        <w:pStyle w:val="BodyText"/>
      </w:pPr>
      <w:r>
        <w:t xml:space="preserve">2.2 Statistical techniques (monoalphabetic focus) (Slide 6)</w:t>
      </w:r>
      <w:r>
        <w:t xml:space="preserve"> </w:t>
      </w:r>
      <w:r>
        <w:t xml:space="preserve">- Let total count N = Σ f_i, empirical q_i = f_i / N, language freq p_i (English)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Index of Coincidence (IoC)</w:t>
      </w:r>
      <w:r>
        <w:t xml:space="preserve">:</w:t>
      </w:r>
      <w:r>
        <w:t xml:space="preserve"> </w:t>
      </w:r>
      <w:r>
        <w:t xml:space="preserve">IoC = Σ f_i(f_i-1) / (N(N-1)), IoC_EN ≈ 0.066, IoC_rand ≈ 0.0385</w:t>
      </w:r>
      <w:r>
        <w:t xml:space="preserve"> </w:t>
      </w:r>
      <w:r>
        <w:t xml:space="preserve">- Heuristic: ≈0.06 → monoalphabetic; ≈0.04 → long-key polyalphabetic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Friedman key-length estimate (Vigenère)</w:t>
      </w:r>
      <w:r>
        <w:t xml:space="preserve">:</w:t>
      </w:r>
      <w:r>
        <w:t xml:space="preserve"> </w:t>
      </w:r>
      <w:r>
        <w:t xml:space="preserve">k_hat ≈ 0.0265 N / ((0.065 - IoC) + N (IoC - 0.0385))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Shift (Caesar) recovery — χ² or correlation</w:t>
      </w:r>
      <w:r>
        <w:t xml:space="preserve">:</w:t>
      </w:r>
      <w:r>
        <w:t xml:space="preserve"> </w:t>
      </w:r>
      <w:r>
        <w:t xml:space="preserve">χ²(s) = Σ ((q_i^(s) - p_i)^2 / p_i), c(s) = Σ q_i^(s) * p_i</w:t>
      </w:r>
      <w:r>
        <w:t xml:space="preserve"> </w:t>
      </w:r>
      <w:r>
        <w:t xml:space="preserve">- Pick s* = argmin χ²(s) or argmax c(s)</w:t>
      </w:r>
      <w:r>
        <w:t xml:space="preserve"> </w:t>
      </w:r>
      <w:r>
        <w:t xml:space="preserve">- ✅ Quick check: If N=1000 and IoC=0.039 → likely Vigenère (long-key)</w:t>
      </w:r>
    </w:p>
    <w:p>
      <w:pPr>
        <w:pStyle w:val="BodyText"/>
      </w:pPr>
      <w:r>
        <w:t xml:space="preserve">2.3 Polyalphabetic (Vigenère) (Slide 7)</w:t>
      </w:r>
      <w:r>
        <w:t xml:space="preserve"> </w:t>
      </w:r>
      <w:r>
        <w:t xml:space="preserve">- Kasiski method, Friedman estimate, split into columns, solve Caesar per column</w:t>
      </w:r>
    </w:p>
    <w:p>
      <w:pPr>
        <w:pStyle w:val="BodyText"/>
      </w:pPr>
      <w:r>
        <w:t xml:space="preserve">2.4 Polygraphic (Hill) (Slide 8)</w:t>
      </w:r>
      <w:r>
        <w:t xml:space="preserve"> </w:t>
      </w:r>
      <w:r>
        <w:t xml:space="preserve">- C = KP mod 26, solve K = CP^-1 mod 26, gcd(det P mod 26, 26) = 1</w:t>
      </w:r>
    </w:p>
    <w:p>
      <w:pPr>
        <w:pStyle w:val="BodyText"/>
      </w:pPr>
      <w:r>
        <w:t xml:space="preserve">2.5 Transposition (Slide 9)</w:t>
      </w:r>
      <w:r>
        <w:t xml:space="preserve"> </w:t>
      </w:r>
      <w:r>
        <w:t xml:space="preserve">- Guess key length → reconstruct columns/rails → score with n-grams</w:t>
      </w:r>
    </w:p>
    <w:p>
      <w:pPr>
        <w:pStyle w:val="BodyText"/>
      </w:pPr>
      <w:r>
        <w:t xml:space="preserve">2.6 Heuristics &amp; workflow (Slides 10–12)</w:t>
      </w:r>
      <w:r>
        <w:t xml:space="preserve"> </w:t>
      </w:r>
      <w:r>
        <w:t xml:space="preserve">- Hill-climbing, simulated annealing, genetic algorithms; fitness via n-grams/dictionary/cribs</w:t>
      </w:r>
      <w:r>
        <w:t xml:space="preserve"> </w:t>
      </w:r>
      <w:r>
        <w:t xml:space="preserve">- Workflow: classify → monoalphabetic/poly-alpha/polygraphic/transposition</w:t>
      </w:r>
      <w:r>
        <w:t xml:space="preserve"> </w:t>
      </w:r>
      <w:r>
        <w:t xml:space="preserve">- ⚠️ Pitfalls: Forget Hill invertibility test; assuming high IoC always monoalphabetic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Stream Ciphers (Slides 15–18)</w:t>
      </w:r>
    </w:p>
    <w:p>
      <w:pPr>
        <w:pStyle w:val="Compact"/>
        <w:numPr>
          <w:ilvl w:val="0"/>
          <w:numId w:val="1005"/>
        </w:numPr>
      </w:pPr>
      <w:r>
        <w:t xml:space="preserve">Model: C = P ⊕ 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ChaCha20 rounds (Slides 16–17)</w:t>
      </w:r>
      <w:r>
        <w:t xml:space="preserve">:</w:t>
      </w:r>
      <w:r>
        <w:t xml:space="preserve"> </w:t>
      </w:r>
      <w:r>
        <w:t xml:space="preserve">1 double-round = Column round + Diagonal round (quarter-rounds on state tuples)</w:t>
      </w:r>
      <w:r>
        <w:t xml:space="preserve"> </w:t>
      </w:r>
      <w:r>
        <w:t xml:space="preserve">a=(a+b) mod 2^32, d=ROTL16(d⊕a), c=(c+d) mod 2^32, b=ROTL12(b⊕c), a=(a+b) mod 2^32, d=ROTL8(d⊕a), c=(c+d) mod 2^32, b=ROTL7(b⊕c)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Pitfalls &amp; attacks</w:t>
      </w:r>
      <w:r>
        <w:t xml:space="preserve">: keystream reuse → C1⊕C2 = P1⊕P2, weak PRG design, nonce reuse</w:t>
      </w:r>
    </w:p>
    <w:p>
      <w:pPr>
        <w:pStyle w:val="Compact"/>
        <w:numPr>
          <w:ilvl w:val="0"/>
          <w:numId w:val="1005"/>
        </w:numPr>
      </w:pPr>
      <w:r>
        <w:t xml:space="preserve">✅ Quick check: Why is nonce reuse fatal in CTR/ChaCha20? Identical keystream reused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Block Ciphers (Slides 19–21)</w:t>
      </w:r>
    </w:p>
    <w:p>
      <w:pPr>
        <w:pStyle w:val="Compact"/>
        <w:numPr>
          <w:ilvl w:val="0"/>
          <w:numId w:val="1007"/>
        </w:numPr>
      </w:pPr>
      <w:r>
        <w:t xml:space="preserve">Map fixed-size blocks (64/128-bit)</w:t>
      </w:r>
    </w:p>
    <w:p>
      <w:pPr>
        <w:pStyle w:val="Compact"/>
        <w:numPr>
          <w:ilvl w:val="0"/>
          <w:numId w:val="1007"/>
        </w:numPr>
      </w:pPr>
      <w:r>
        <w:t xml:space="preserve">Stream vs Block: low latency vs modes (ECB, CBC, CTR, GCM)</w:t>
      </w:r>
    </w:p>
    <w:p>
      <w:pPr>
        <w:pStyle w:val="Compact"/>
        <w:numPr>
          <w:ilvl w:val="0"/>
          <w:numId w:val="1007"/>
        </w:numPr>
      </w:pPr>
      <w:r>
        <w:t xml:space="preserve">Substitution tables: monoalphabetic vs S-box</w:t>
      </w:r>
    </w:p>
    <w:p>
      <w:pPr>
        <w:pStyle w:val="Compact"/>
        <w:numPr>
          <w:ilvl w:val="0"/>
          <w:numId w:val="1007"/>
        </w:numPr>
      </w:pPr>
      <w:r>
        <w:t xml:space="preserve">⚠️ Pitfall: ECB leaks patterns, prefer AEAD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Feistel Ciphers (Slides 22–26)</w:t>
      </w:r>
    </w:p>
    <w:p>
      <w:pPr>
        <w:pStyle w:val="Compact"/>
        <w:numPr>
          <w:ilvl w:val="0"/>
          <w:numId w:val="1009"/>
        </w:numPr>
      </w:pPr>
      <w:r>
        <w:t xml:space="preserve">L_i = R_(i-1), R_i = L_(i-1) ⊕ F(R_(i-1), K_i)</w:t>
      </w:r>
    </w:p>
    <w:p>
      <w:pPr>
        <w:pStyle w:val="Compact"/>
        <w:numPr>
          <w:ilvl w:val="0"/>
          <w:numId w:val="1009"/>
        </w:numPr>
      </w:pPr>
      <w:r>
        <w:t xml:space="preserve">Ciphertext: C = L_(n+1) | R_(n+1), decryption: reverse keys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DES — Data Encryption Standard (Slides 27–35)</w:t>
      </w:r>
    </w:p>
    <w:p>
      <w:pPr>
        <w:pStyle w:val="Compact"/>
        <w:numPr>
          <w:ilvl w:val="0"/>
          <w:numId w:val="1011"/>
        </w:numPr>
      </w:pPr>
      <w:r>
        <w:t xml:space="preserve">64-bit block, 56-bit key, 16-round Feistel</w:t>
      </w:r>
    </w:p>
    <w:p>
      <w:pPr>
        <w:pStyle w:val="Compact"/>
        <w:numPr>
          <w:ilvl w:val="0"/>
          <w:numId w:val="1011"/>
        </w:numPr>
      </w:pPr>
      <w:r>
        <w:t xml:space="preserve">Round function: F(R,K) = P(S(EP(R) ⊕ K))</w:t>
      </w:r>
    </w:p>
    <w:p>
      <w:pPr>
        <w:pStyle w:val="Compact"/>
        <w:numPr>
          <w:ilvl w:val="0"/>
          <w:numId w:val="1011"/>
        </w:numPr>
      </w:pPr>
      <w:r>
        <w:t xml:space="preserve">Expansion table &amp; S-box: 32→48 expansion, 8 S-boxes (6→4 bits)</w:t>
      </w:r>
    </w:p>
    <w:p>
      <w:pPr>
        <w:pStyle w:val="Compact"/>
        <w:numPr>
          <w:ilvl w:val="0"/>
          <w:numId w:val="1011"/>
        </w:numPr>
      </w:pPr>
      <w:r>
        <w:t xml:space="preserve">Key schedule: remove parity, split, round shifts, compress to 48-bit subkeys</w:t>
      </w:r>
    </w:p>
    <w:p>
      <w:pPr>
        <w:pStyle w:val="Compact"/>
        <w:numPr>
          <w:ilvl w:val="0"/>
          <w:numId w:val="1011"/>
        </w:numPr>
      </w:pPr>
      <w:r>
        <w:t xml:space="preserve">DES obsolete; attacks: differential, linear, meet-in-the-middle; use AES or 3DES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Block Cipher Design Principles (Slides 36–37)</w:t>
      </w:r>
    </w:p>
    <w:p>
      <w:pPr>
        <w:pStyle w:val="Compact"/>
        <w:numPr>
          <w:ilvl w:val="0"/>
          <w:numId w:val="1013"/>
        </w:numPr>
      </w:pPr>
      <w:r>
        <w:t xml:space="preserve">Rounds ↑ ⇒ security ↑</w:t>
      </w:r>
    </w:p>
    <w:p>
      <w:pPr>
        <w:pStyle w:val="Compact"/>
        <w:numPr>
          <w:ilvl w:val="0"/>
          <w:numId w:val="1013"/>
        </w:numPr>
      </w:pPr>
      <w:r>
        <w:t xml:space="preserve">Round function criteria: SAC, BIC</w:t>
      </w:r>
    </w:p>
    <w:p>
      <w:pPr>
        <w:pStyle w:val="Compact"/>
        <w:numPr>
          <w:ilvl w:val="0"/>
          <w:numId w:val="1013"/>
        </w:numPr>
      </w:pPr>
      <w:r>
        <w:t xml:space="preserve">Key schedule: resist subkey relations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AES (Preview) (Slides 38–39)</w:t>
      </w:r>
    </w:p>
    <w:p>
      <w:pPr>
        <w:pStyle w:val="Compact"/>
        <w:numPr>
          <w:ilvl w:val="0"/>
          <w:numId w:val="1015"/>
        </w:numPr>
      </w:pPr>
      <w:r>
        <w:t xml:space="preserve">128-bit block, key sizes 128/192/256</w:t>
      </w:r>
    </w:p>
    <w:p>
      <w:pPr>
        <w:pStyle w:val="Compact"/>
        <w:numPr>
          <w:ilvl w:val="0"/>
          <w:numId w:val="1015"/>
        </w:numPr>
      </w:pPr>
      <w:r>
        <w:t xml:space="preserve">Substitution–permutation network (not Feistel)</w:t>
      </w:r>
    </w:p>
    <w:p>
      <w:pPr>
        <w:pStyle w:val="Compact"/>
        <w:numPr>
          <w:ilvl w:val="0"/>
          <w:numId w:val="1015"/>
        </w:numPr>
      </w:pPr>
      <w:r>
        <w:t xml:space="preserve">AEAD modes (AES-GCM)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 Reference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IoC</w:t>
      </w:r>
      <w:r>
        <w:t xml:space="preserve">: IoC = Σ f_i(f_i-1)/N(N-1)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Friedman estimate</w:t>
      </w:r>
      <w:r>
        <w:t xml:space="preserve">: k_hat ≈ 0.0265 N / ((0.065 - IoC) + N (IoC - 0.0385))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Caesar scoring</w:t>
      </w:r>
      <w:r>
        <w:t xml:space="preserve">: χ²(s)=Σ((q_i^(s)-p_i)²/p_i), c(s)=Σ q_i^(s) p_i</w:t>
      </w:r>
      <w:r>
        <w:t xml:space="preserve"> </w:t>
      </w:r>
      <w:r>
        <w:t xml:space="preserve">- ✅ Use unique nonces; AEAD</w:t>
      </w:r>
      <w:r>
        <w:t xml:space="preserve"> </w:t>
      </w:r>
      <w:r>
        <w:t xml:space="preserve">- ❌ Don’t reuse keystreams; don’t use ECB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1"/>
  </w:num>
  <w:num w:numId="1014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2025-09-30T06:32:33Z</dcterms:created>
  <dcterms:modified xsi:type="dcterms:W3CDTF">2025-09-30T06:32:33Z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