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2018694838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hz7o12ilxvmw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-662384312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svbcdlqg13ri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46kyuj6khb0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Sprint Backlog #3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-862016096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63738621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402243240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(28 de Septiembre, 2026)</w:t>
          </w:r>
        </w:p>
      </w:sdtContent>
    </w:sdt>
    <w:sdt>
      <w:sdtPr>
        <w:id w:val="-395096523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ty196dsqn3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2"/>
        </w:numPr>
        <w:spacing w:before="280" w:line="36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eeygrssews3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11145834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eygrssews3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eynavb4zh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Sprint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dswn46e78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Elementos seleccionados para el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db9vjgdxmk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Tareas técnicas realizadas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wpauh86r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Registro continuo de seguimiento diario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xvr5dywd3g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Resultado del sprint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45eynavb4zh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del Sprint</w:t>
      </w:r>
    </w:p>
    <w:p w:rsidR="00000000" w:rsidDel="00000000" w:rsidP="00000000" w:rsidRDefault="00000000" w:rsidRPr="00000000" w14:paraId="00000047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Diseñar y documentar durante el Sprint 3 la arquitectura funcional y técnica de CampusLink, estableciendo una visión coherente de sus capas, componentes, servicios, actores y principales flujos de interacción antes de profundizar en la implementación.</w:t>
      </w:r>
    </w:p>
    <w:p w:rsidR="00000000" w:rsidDel="00000000" w:rsidP="00000000" w:rsidRDefault="00000000" w:rsidRPr="00000000" w14:paraId="00000048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Durante esta semana el equipo concentró su trabajo en representar cómo se organiza la solución y cómo se comunican sus partes. Se consideraron la aplicación cliente, el backend y la API REST, Supabase, PostgreSQL, Storage y MongoDB, definiendo responsabilidades, dependencias y límites entre estos elementos.</w:t>
      </w:r>
    </w:p>
    <w:p w:rsidR="00000000" w:rsidDel="00000000" w:rsidP="00000000" w:rsidRDefault="00000000" w:rsidRPr="00000000" w14:paraId="00000049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sprint también abordó la perspectiva funcional mediante casos de uso y el modelado secuencial de la funcionalidad principal. Esto permitió relacionar los actores definidos para CampusLink con los servicios y componentes que participan en los flujos más relevantes, incluyendo caminos principales, alternativas y excepciones.</w:t>
      </w:r>
    </w:p>
    <w:p w:rsidR="00000000" w:rsidDel="00000000" w:rsidP="00000000" w:rsidRDefault="00000000" w:rsidRPr="00000000" w14:paraId="0000004A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documentación resultante se mantiene como una base evolutiva. Dado que el alcance del Product Backlog todavía puede refinarse, los diagramas, contratos y responsabilidades definidos durante este sprint deberán mantenerse trazables y ajustarse si cambian las funcionalidades o reglas de negocio del producto.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2"/>
        </w:numPr>
        <w:spacing w:before="280" w:line="36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8edswn46e78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seleccionados para el Sprint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 este sprint se seleccionaron elementos de documentación orientados a describir la arquitectura y el comportamiento general de CampusLink. El trabajo se centró en representar la estructura de la solución, las dependencias entre componentes, la comunicación entre servicios y la relación de los actores con los flujos funcionales, de modo que las siguientes etapas dispongan de una referencia técnica común y trazable.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75"/>
        <w:gridCol w:w="2445"/>
        <w:gridCol w:w="2925"/>
        <w:gridCol w:w="1035"/>
        <w:gridCol w:w="1470"/>
        <w:tblGridChange w:id="0">
          <w:tblGrid>
            <w:gridCol w:w="975"/>
            <w:gridCol w:w="2445"/>
            <w:gridCol w:w="2925"/>
            <w:gridCol w:w="1035"/>
            <w:gridCol w:w="1470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DC-03 DC-04  DC-07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del 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Elaborar Sprint Backlog, Definition of Done y Plan de Pruebas y Evidencias correspondientes al tercer sprint.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 Brian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Representar capas, tecnologías, límites y decisiones principales de la solución CampusLink.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</w:t>
            </w:r>
            <w:r w:rsidDel="00000000" w:rsidR="00000000" w:rsidRPr="00000000">
              <w:rPr>
                <w:rtl w:val="0"/>
              </w:rPr>
              <w:t xml:space="preserve">despliegue (Componentes)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Mostrar los componentes principales, sus responsabilidades y las dependencias existentes entre ellos.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comunicación entre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Explicar el intercambio entre cliente, backend, Supabase, PostgreSQL, Storage y MongoDB.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DC-16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Casos de uso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left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Relacionar actores con flujos principales, alternativas y excepciones de las funcionalidades consideradas actualmente.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b w:val="0"/>
                <w:bCs w:val="0"/>
                <w:color w:val="ff000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.6264648437502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DC-17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Diagrama de secuencia de la funcionalidad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Explicar el orden de interacción entre actores, componentes y servicios dentro del flujo principal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DC-18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Especificación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Describir textualmente responsabilidades, contratos, dependencias y límites de los componentes, complementando el DC-10.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numPr>
          <w:ilvl w:val="0"/>
          <w:numId w:val="2"/>
        </w:numPr>
        <w:spacing w:before="280" w:lin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idb9vjgdxmk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Tareas técnicas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jc w:val="both"/>
        <w:rPr>
          <w:highlight w:val="red"/>
        </w:rPr>
      </w:pPr>
      <w:r w:rsidDel="00000000" w:rsidR="00000000" w:rsidRPr="00000000">
        <w:rPr>
          <w:rtl w:val="0"/>
        </w:rPr>
        <w:t xml:space="preserve">Durante la semana se trabajó de forma transversal en la definición de la arquitectura, los componentes y los flujos de CampusLink. Las tareas buscaron mantener consistencia entre la visión funcional del Product Backlog y la solución técnica, documentando responsabilidades, dependencias, comunicaciones y decisiones que deberán servir como referencia para el desarrollo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368"/>
        <w:gridCol w:w="3096"/>
        <w:gridCol w:w="5040"/>
        <w:tblGridChange w:id="0">
          <w:tblGrid>
            <w:gridCol w:w="1368"/>
            <w:gridCol w:w="3096"/>
            <w:gridCol w:w="5040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/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Revisión de insumos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revisaron el Product Backlog, el modelo de datos y las decisiones técnicas previas para identificar los elementos que debían reflejarse en la arquitectura.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Definición de capas y 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delimitaron responsabilidades entre aplicación cliente, backend/API, servicios de Supabase, persistencia relacional, almacenamiento de archivos y persistencia documental.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de tecnologías y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consolidaron las tecnologías consideradas y las dependencias necesarias entre Expo, backend, Supabase, PostgreSQL, Storage y MongoDB.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Construcción del 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representó una vista general de la solución, mostrando capas, límites y relaciones principales entre los elementos técnicos de CampusLink.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Identificación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descompuso la solución en componentes con responsabilidades diferenciadas para cliente, autenticación, API, datos, archivos y servicios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Definición de dependencias entre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documentaron las relaciones de uso y dependencia para evitar responsabilidades duplicadas y mantener una separación clara entre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Especificación preliminar de contratos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describieron entradas, salidas y dependencias esperadas de los componentes principales como complemento textual del diagrama de componentes.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Modelado de comunicación entre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trazaron los intercambios de solicitudes, respuestas, autenticación, consultas, archivos y referencias entre cliente, backend y servicios de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Modelado de la secuencia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ordenaron las interacciones entre actor, cliente, backend y servicios involucrados en la funcionalidad principal acordada por 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Validación de consistencia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contrastaron arquitectura, componentes, comunicaciones, casos de uso y secuencia para mantener nombres, responsabilidades y dependencias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Registro de decisiones abiertas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 dejaron identificados los puntos que deberán refinarse si cambian el alcance funcional, los contratos de API o las decisiones de implementación en los siguientes sprints.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numPr>
          <w:ilvl w:val="0"/>
          <w:numId w:val="2"/>
        </w:numPr>
        <w:spacing w:before="280" w:line="36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aj7kvkbujo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continuo de seguimiento diario</w:t>
      </w:r>
    </w:p>
    <w:p w:rsidR="00000000" w:rsidDel="00000000" w:rsidP="00000000" w:rsidRDefault="00000000" w:rsidRPr="00000000" w14:paraId="000000C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seguimiento diario registra el avance de una semana centrada en la documentación de arquitectura y comportamiento del sistema. Las reuniones se orientaron a revisar decisiones, mantener consistencia entre documentos y dejar explícitos los puntos que aún requieren refinamiento antes de la implementación.</w:t>
      </w:r>
    </w:p>
    <w:p w:rsidR="00000000" w:rsidDel="00000000" w:rsidP="00000000" w:rsidRDefault="00000000" w:rsidRPr="00000000" w14:paraId="000000C4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diario – Día 1 (21/09/2026)</w:t>
      </w:r>
    </w:p>
    <w:p w:rsidR="00000000" w:rsidDel="00000000" w:rsidP="00000000" w:rsidRDefault="00000000" w:rsidRPr="00000000" w14:paraId="000000CB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Se inició el sprint revisando el Product Backlog, el modelo de datos y las decisiones técnicas disponibles. A partir de estos insumos se delimitaron las capas principales de CampusLink y se comenzó a estructurar el diagrama de arquitectura, identificando cliente, backend/API, Supabase, PostgreSQL, Storage y MongoDB.</w:t>
      </w:r>
    </w:p>
    <w:p w:rsidR="00000000" w:rsidDel="00000000" w:rsidP="00000000" w:rsidRDefault="00000000" w:rsidRPr="00000000" w14:paraId="000000CD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 del día: </w:t>
      </w:r>
      <w:r w:rsidDel="00000000" w:rsidR="00000000" w:rsidRPr="00000000">
        <w:rPr>
          <w:rtl w:val="0"/>
        </w:rPr>
        <w:t xml:space="preserve">establecer una vista general del sistema y acordar qué responsabilidades deben representarse en cada capa antes de profundizar en los componentes.</w:t>
      </w:r>
    </w:p>
    <w:p w:rsidR="00000000" w:rsidDel="00000000" w:rsidP="00000000" w:rsidRDefault="00000000" w:rsidRPr="00000000" w14:paraId="000000CE">
      <w:pPr>
        <w:spacing w:after="16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Bloqueos identificados: </w:t>
      </w:r>
      <w:r w:rsidDel="00000000" w:rsidR="00000000" w:rsidRPr="00000000">
        <w:rPr>
          <w:rtl w:val="0"/>
        </w:rPr>
        <w:t xml:space="preserve">algunas decisiones de arquitectura todavía dependen del alcance definitivo de las funcionalidades y de contratos de integración que deberán refinarse durante la implementación.</w:t>
      </w:r>
    </w:p>
    <w:p w:rsidR="00000000" w:rsidDel="00000000" w:rsidP="00000000" w:rsidRDefault="00000000" w:rsidRPr="00000000" w14:paraId="000000CF">
      <w:pPr>
        <w:spacing w:after="160"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diario – Día 2 (22/09/2026)</w:t>
      </w:r>
    </w:p>
    <w:p w:rsidR="00000000" w:rsidDel="00000000" w:rsidP="00000000" w:rsidRDefault="00000000" w:rsidRPr="00000000" w14:paraId="000000D1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Se profundizó en la descomposición de la solución, identificando componentes, responsabilidades y dependencias. Se avanzó en el diagrama de componentes y en la especificación textual de cada elemento, procurando separar claramente la lógica del cliente, la API, la autenticación, la persistencia y el almacenamiento de archivos.</w:t>
      </w:r>
    </w:p>
    <w:p w:rsidR="00000000" w:rsidDel="00000000" w:rsidP="00000000" w:rsidRDefault="00000000" w:rsidRPr="00000000" w14:paraId="000000D3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 del día: </w:t>
      </w:r>
      <w:r w:rsidDel="00000000" w:rsidR="00000000" w:rsidRPr="00000000">
        <w:rPr>
          <w:rtl w:val="0"/>
        </w:rPr>
        <w:t xml:space="preserve">transformar la vista general de arquitectura en componentes concretos que puedan ser entendidos y desarrollados de manera independiente, manteniendo contratos y dependencias explícitas.</w:t>
      </w:r>
    </w:p>
    <w:p w:rsidR="00000000" w:rsidDel="00000000" w:rsidP="00000000" w:rsidRDefault="00000000" w:rsidRPr="00000000" w14:paraId="000000D4">
      <w:pPr>
        <w:spacing w:after="16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Bloqueos identificados: </w:t>
      </w:r>
      <w:r w:rsidDel="00000000" w:rsidR="00000000" w:rsidRPr="00000000">
        <w:rPr>
          <w:rtl w:val="0"/>
        </w:rPr>
        <w:t xml:space="preserve">algunos límites entre servicios de Supabase y responsabilidades propias del backend requieren validación adicional para evitar duplicidad de lógica o acoplamiento innecesario.</w:t>
      </w:r>
    </w:p>
    <w:p w:rsidR="00000000" w:rsidDel="00000000" w:rsidP="00000000" w:rsidRDefault="00000000" w:rsidRPr="00000000" w14:paraId="000000D5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diario – Día 3 (23/09/2026)</w:t>
      </w:r>
    </w:p>
    <w:p w:rsidR="00000000" w:rsidDel="00000000" w:rsidP="00000000" w:rsidRDefault="00000000" w:rsidRPr="00000000" w14:paraId="000000DB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Se trabajó en el diagrama de comunicación entre servicios. Se revisó cómo viajan las solicitudes desde el cliente hacia el backend y cómo este interactúa con Supabase, PostgreSQL, Storage y MongoDB para autenticación, consultas, persistencia y manejo de archivos o referencias.</w:t>
      </w:r>
    </w:p>
    <w:p w:rsidR="00000000" w:rsidDel="00000000" w:rsidP="00000000" w:rsidRDefault="00000000" w:rsidRPr="00000000" w14:paraId="000000DD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 del día: </w:t>
      </w:r>
      <w:r w:rsidDel="00000000" w:rsidR="00000000" w:rsidRPr="00000000">
        <w:rPr>
          <w:rtl w:val="0"/>
        </w:rPr>
        <w:t xml:space="preserve">dejar documentado el intercambio de información entre servicios y verificar que cada comunicación tenga un responsable y una dirección claramente definida.</w:t>
      </w:r>
    </w:p>
    <w:p w:rsidR="00000000" w:rsidDel="00000000" w:rsidP="00000000" w:rsidRDefault="00000000" w:rsidRPr="00000000" w14:paraId="000000DE">
      <w:pPr>
        <w:spacing w:after="16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Bloqueos identificados: </w:t>
      </w:r>
      <w:r w:rsidDel="00000000" w:rsidR="00000000" w:rsidRPr="00000000">
        <w:rPr>
          <w:rtl w:val="0"/>
        </w:rPr>
        <w:t xml:space="preserve">los contratos específicos de algunos endpoints y el detalle de ciertas operaciones todavía pueden cambiar cuando se implementen y prueben los primeros flujos de integración.</w:t>
      </w:r>
    </w:p>
    <w:p w:rsidR="00000000" w:rsidDel="00000000" w:rsidP="00000000" w:rsidRDefault="00000000" w:rsidRPr="00000000" w14:paraId="000000DF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diario – Día 4 (24/09/2026)</w:t>
      </w:r>
    </w:p>
    <w:p w:rsidR="00000000" w:rsidDel="00000000" w:rsidP="00000000" w:rsidRDefault="00000000" w:rsidRPr="00000000" w14:paraId="000000E0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Se levantaron los casos de uso a partir de los actores vigentes del Product Backlog. Se relacionaron los flujos principales con ACT-01, ACT-02 y ACT-03, incorporando alternativas y excepciones relevantes y revisando que las capacidades asignadas a cada actor fueran consistentes con los permisos definidos actualmente.</w:t>
      </w:r>
    </w:p>
    <w:p w:rsidR="00000000" w:rsidDel="00000000" w:rsidP="00000000" w:rsidRDefault="00000000" w:rsidRPr="00000000" w14:paraId="000000E2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 del día: </w:t>
      </w:r>
      <w:r w:rsidDel="00000000" w:rsidR="00000000" w:rsidRPr="00000000">
        <w:rPr>
          <w:rtl w:val="0"/>
        </w:rPr>
        <w:t xml:space="preserve">representar la interacción funcional de los actores con CampusLink y conectar esta visión con los componentes y servicios definidos en los diagramas técnicos.</w:t>
      </w:r>
    </w:p>
    <w:p w:rsidR="00000000" w:rsidDel="00000000" w:rsidP="00000000" w:rsidRDefault="00000000" w:rsidRPr="00000000" w14:paraId="000000E3">
      <w:pPr>
        <w:spacing w:after="16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Bloqueos identificados: </w:t>
      </w:r>
      <w:r w:rsidDel="00000000" w:rsidR="00000000" w:rsidRPr="00000000">
        <w:rPr>
          <w:rtl w:val="0"/>
        </w:rPr>
        <w:t xml:space="preserve">algunos casos de uso dependen de reglas de negocio y permisos que continúan abiertos a refinamiento, por lo que ciertos flujos podrían ajustarse posteriormente.</w:t>
      </w:r>
    </w:p>
    <w:p w:rsidR="00000000" w:rsidDel="00000000" w:rsidP="00000000" w:rsidRDefault="00000000" w:rsidRPr="00000000" w14:paraId="000000E4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Seguimiento diario – Día 5 (25/09/2026)</w:t>
      </w:r>
    </w:p>
    <w:p w:rsidR="00000000" w:rsidDel="00000000" w:rsidP="00000000" w:rsidRDefault="00000000" w:rsidRPr="00000000" w14:paraId="000000EC">
      <w:pPr>
        <w:spacing w:after="120" w:before="160" w:line="36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Equipo: </w:t>
      </w:r>
      <w:r w:rsidDel="00000000" w:rsidR="00000000" w:rsidRPr="00000000">
        <w:rPr>
          <w:rtl w:val="0"/>
        </w:rPr>
        <w:t xml:space="preserve">Se elaboró el diagrama de secuencia correspondiente a la funcionalidad principal acordada por el equipo, ordenando la interacción entre actor, aplicación cliente, backend y servicios involucrados. Finalmente, se realizó una revisión cruzada entre arquitectura, componentes, comunicación, casos de uso y especificaciones para detectar inconsistencias.</w:t>
      </w:r>
    </w:p>
    <w:p w:rsidR="00000000" w:rsidDel="00000000" w:rsidP="00000000" w:rsidRDefault="00000000" w:rsidRPr="00000000" w14:paraId="000000EE">
      <w:pPr>
        <w:spacing w:after="12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 del día: </w:t>
      </w:r>
      <w:r w:rsidDel="00000000" w:rsidR="00000000" w:rsidRPr="00000000">
        <w:rPr>
          <w:rtl w:val="0"/>
        </w:rPr>
        <w:t xml:space="preserve">cerrar la semana con una documentación arquitectónica coherente, trazable y suficientemente clara para orientar las siguientes actividades de implementación y refinamiento.</w:t>
      </w:r>
    </w:p>
    <w:p w:rsidR="00000000" w:rsidDel="00000000" w:rsidP="00000000" w:rsidRDefault="00000000" w:rsidRPr="00000000" w14:paraId="000000EF">
      <w:pPr>
        <w:spacing w:after="160" w:line="360" w:lineRule="auto"/>
        <w:ind w:left="72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Resultado del día: </w:t>
      </w:r>
      <w:r w:rsidDel="00000000" w:rsidR="00000000" w:rsidRPr="00000000">
        <w:rPr>
          <w:rtl w:val="0"/>
        </w:rPr>
        <w:t xml:space="preserve">se obtuvo una base documental que describe la estructura general de CampusLink, sus componentes, dependencias, comunicaciones, actores y secuencia principal, manteniendo identificadas las decisiones que todavía pueden cambiar con el alcance del producto.</w:t>
      </w:r>
    </w:p>
    <w:p w:rsidR="00000000" w:rsidDel="00000000" w:rsidP="00000000" w:rsidRDefault="00000000" w:rsidRPr="00000000" w14:paraId="000000F0">
      <w:pPr>
        <w:pStyle w:val="Heading3"/>
        <w:numPr>
          <w:ilvl w:val="0"/>
          <w:numId w:val="2"/>
        </w:numPr>
        <w:spacing w:before="280" w:line="36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vxvr5dywd3g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del sprint</w:t>
      </w:r>
    </w:p>
    <w:p w:rsidR="00000000" w:rsidDel="00000000" w:rsidP="00000000" w:rsidRDefault="00000000" w:rsidRPr="00000000" w14:paraId="000000F1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Durante el Sprint 3, el trabajo del equipo se concentró en documentar cómo se estructura CampusLink y cómo interactúan sus principales elementos técnicos y funcionales. El foco pasó desde el modelamiento de datos del sprint anterior hacia una visión más amplia de la solución, utilizando diagramas y especificaciones que permitan comprender responsabilidades, límites y dependencias antes de continuar con la implementación.</w:t>
      </w:r>
    </w:p>
    <w:p w:rsidR="00000000" w:rsidDel="00000000" w:rsidP="00000000" w:rsidRDefault="00000000" w:rsidRPr="00000000" w14:paraId="000000F2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consolidó una arquitectura que considera la aplicación cliente, el backend/API REST, Supabase, PostgreSQL, Storage y MongoDB, acompañada por una descomposición en componentes y una descripción de la comunicación entre servicios. Esto permite disponer de una referencia común para entender dónde se ejecuta cada responsabilidad y cómo fluye la información entre las distintas tecnologías.</w:t>
      </w:r>
    </w:p>
    <w:p w:rsidR="00000000" w:rsidDel="00000000" w:rsidP="00000000" w:rsidRDefault="00000000" w:rsidRPr="00000000" w14:paraId="000000F3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Desde la perspectiva funcional, se relacionaron los actores definidos para CampusLink con sus casos de uso y se documentaron flujos principales, alternativas y excepciones. Además, se representó mediante un diagrama de secuencia el orden de interacción entre actor, cliente, backend y servicios para la funcionalidad principal acordada por el equipo.</w:t>
      </w:r>
    </w:p>
    <w:p w:rsidR="00000000" w:rsidDel="00000000" w:rsidP="00000000" w:rsidRDefault="00000000" w:rsidRPr="00000000" w14:paraId="000000F4">
      <w:pPr>
        <w:spacing w:after="16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documentos elaborados durante esta semana se consideran una base técnica revisable y no una definición inmutable. Si el Product Backlog, las reglas de negocio o los contratos de integración cambian, será necesario actualizar los diagramas y especificaciones para mantener la trazabilidad y la coherencia entre la documentación y la implementación real.</w:t>
      </w:r>
    </w:p>
    <w:p w:rsidR="00000000" w:rsidDel="00000000" w:rsidP="00000000" w:rsidRDefault="00000000" w:rsidRPr="00000000" w14:paraId="000000F5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Como resultado del trabajo de esta semana: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documentaron las capas, tecnologías y límites principales mediante el diagrama de arquitectura.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definieron componentes, responsabilidades, dependencias y contratos preliminares, complementados por la especificación de componentes.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representó la comunicación entre cliente, backend, Supabase, PostgreSQL, Storage y MongoDB, manteniendo explícitos los intercambios principales.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relacionaron actores y casos de uso y se documentó la secuencia de la funcionalidad principal para conectar la visión funcional con la arquitectura técnica.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el siguiente refinamiento será necesario contrastar esta documentación con cualquier cambio que se realice sobre el Product Backlog y con las decisiones que surjan durante la implementación. A partir de esa revisión podrán ajustarse componentes, contratos, permisos, flujos de comunicación y secuencias antes de considerar la arquitectura como una referencia estable para el desarrollo.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TakKfGIEpQusnM72f9R04n04w==">CgMxLjAaDQoBMBIICgYIBTICCAEaDQoBMRIICgYIBTICCAEaDQoBMhIICgYIBTICCAEaDQoBMxIICgYIBTICCAEaDQoBNBIICgYIBTICCAEaDQoBNRIICgYIBTICCAEyDmguaHo3bzEyaWx4dm13Mg5oLnN2YmNkbHFnMTNyaTIOaC40Nmt5dWo2a2hiMDgyDmguN3R5MTk2ZHNxbjN0Mg5oLmVleWdyc3Nld3MzbzIOaC40NWV5bmF2YjR6aHcyDmguOGVkc3duNDZlNzg5Mg5oLmlkYjl2amdkeG1rNjIOaC5hajdrdmtidWpvNWMyDmgudnh2cjVkeXdkM2c1OAByITEybGgtUndNNEROQ2tYMl8waklIYlRzNklvbHlPLXM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