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uaskp5gsrwd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2mupkrywekxt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gxs13zq31u0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Variables de entorno .env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(05 de Octubre,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c7tbngg57cn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n62zv8wtyy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-13259295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n62zv8wtyy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j0lzes0mxc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Variables de entorno .env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upqhtb891nm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gu8va4mhie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hwn01ngmwv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89q608au2s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rxn9b1pzo6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gmgtfuu5hi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lulhv7ld10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xy34xnhdbm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8xsviawqm0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whcg83a3xr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d26n9rpgma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mfutisg023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bj0lzes0mxc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Variables de entorno .env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Para más detalle e información al respecto de las variables de entorno, consultar el documento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Manual técnico de despliegue.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010150" cy="5238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240" w:before="240" w:line="360" w:lineRule="auto"/>
        <w:rPr>
          <w:rFonts w:ascii="Play" w:cs="Play" w:eastAsia="Play" w:hAnsi="Play"/>
          <w:b w:val="1"/>
          <w:bCs w:val="1"/>
          <w:color w:val="163a5f"/>
          <w:sz w:val="32"/>
          <w:szCs w:val="32"/>
        </w:rPr>
      </w:pPr>
      <w:bookmarkStart w:colFirst="0" w:colLast="0" w:name="_heading=h.w9mk8vbr6et3" w:id="18"/>
      <w:bookmarkEnd w:id="18"/>
      <w:r w:rsidDel="00000000" w:rsidR="00000000" w:rsidRPr="00000000">
        <w:rPr>
          <w:rtl w:val="0"/>
        </w:rPr>
      </w:r>
    </w:p>
    <w:sdt>
      <w:sdtPr>
        <w:lock w:val="contentLocked"/>
        <w:id w:val="-577880528"/>
        <w:tag w:val="goog_rdk_0"/>
      </w:sdtPr>
      <w:sdtContent>
        <w:tbl>
          <w:tblPr>
            <w:tblStyle w:val="Table1"/>
            <w:tblW w:w="9516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79"/>
            <w:gridCol w:w="2379"/>
            <w:gridCol w:w="2379"/>
            <w:gridCol w:w="2379"/>
            <w:tblGridChange w:id="0">
              <w:tblGrid>
                <w:gridCol w:w="2379"/>
                <w:gridCol w:w="2379"/>
                <w:gridCol w:w="2379"/>
                <w:gridCol w:w="2379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5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Variable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6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Uso actual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7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Obligatoria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8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Dónde se define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MONGODB_URI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Conexión a MongoDB Atlas.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Sí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MONGODB_DB_NAME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lógico de la base; default campuslink en env.ts.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estrictamente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Puerto HTTP; default 3000.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env.ts / entorno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NODE_ENV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Modo de ejecución; Dockerfile fija production.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Dockerfile / entorno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EXPO_PUBLIC_SUPABASE_URL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URL pública de Supabase para cliente cuando se conecte Auth.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Según integración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EXPO_PUBLIC_SUPABASE_ANON_KEY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Clave pública/anon de Supabase.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Según integración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SUPABASE_SERVICE_ROLE_KEY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Solo backend si la integración runtime la requiere; nunca frontend.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Futuro según módulo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</w:tbl>
      </w:sdtContent>
    </w:sdt>
    <w:p w:rsidR="00000000" w:rsidDel="00000000" w:rsidP="00000000" w:rsidRDefault="00000000" w:rsidRPr="00000000" w14:paraId="00000055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CG-6f-v2lgePcpk6XIhC9wS6ZmDDfGqj/edit?usp=drive_link&amp;ouid=109064211669134452034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QOjYQKu8wxC+EuMZuq5P2TeKYQ==">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