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x1udhxd4gxo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pftn71njci39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4olthm62vhg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Portabilidad (Docker)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(05 de Octubre,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a0zkhi4w4bq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280" w:line="360" w:lineRule="auto"/>
        <w:rPr/>
      </w:pPr>
      <w:bookmarkStart w:colFirst="0" w:colLast="0" w:name="_heading=h.gb8tv1l92xzh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-4885732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b8tv1l92xz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ff90rg1qa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Objetivo, alcance y criterio de calidad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pvstvne4f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Estado técnico actual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hzbubkfjxg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Diseño de contenedorización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p5iizvd7v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Etapa de build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qpisbblyn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Etapa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zmv4tlw86z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Docker Compose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mk8vbr6et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Configuración y variables actuales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m729vmj1s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Procedimiento reproducible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90ioedk9t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Plan para garantizar portabilidad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ep19ww4jcw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Criterios de aceptación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tpopfpv0a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8ou7aztvvxx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2f285nc8eu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qh8y87wuy9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7a8ob833mp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cqfzsj75pw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jg7zyxytyy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/>
      </w:pPr>
      <w:bookmarkStart w:colFirst="0" w:colLast="0" w:name="_heading=h.jbr4bzj0488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40" w:before="240" w:line="360" w:lineRule="auto"/>
        <w:rPr>
          <w:b w:val="1"/>
          <w:bCs w:val="1"/>
          <w:sz w:val="26"/>
          <w:szCs w:val="26"/>
        </w:rPr>
      </w:pPr>
      <w:bookmarkStart w:colFirst="0" w:colLast="0" w:name="_heading=h.63ff90rg1qa3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Objetivo, alcance y criterio de calidad 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Este documento registra la portabilidad de CampusLink mediante Docker tomando como fuente el estado real del proyecto al 05/10/2026. El alcance principal de contenedorización es el backend Node.js/Express; MongoDB Atlas y Supabase son servicios externos administrados y no necesitan ser incluidos como contenedores locales para demostrar la portabilidad del servicio.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La portabilidad se considerará demostrada cuando la misma definición Docker pueda construirse y ejecutarse en ambientes compatibles sin depender de rutas, paquetes Node o secretos instalados manualmente en el host, y cuando otra persona pueda reproducir el procedimiento a partir del repositorio y la configuración documentada.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40" w:before="240" w:line="360" w:lineRule="auto"/>
        <w:rPr/>
      </w:pPr>
      <w:bookmarkStart w:colFirst="0" w:colLast="0" w:name="_heading=h.xhpvstvne4fb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Estado técnico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Aptos" w:cs="Aptos" w:eastAsia="Aptos" w:hAnsi="Aptos"/>
          <w:color w:val="202d37"/>
          <w:sz w:val="21"/>
          <w:szCs w:val="21"/>
        </w:rPr>
      </w:pPr>
      <w:r w:rsidDel="00000000" w:rsidR="00000000" w:rsidRPr="00000000">
        <w:rPr>
          <w:rtl w:val="0"/>
        </w:rPr>
        <w:t xml:space="preserve">El estado del proyecto actual contiene Dockerfile, docker-compose.yml, backend/.env.example y .dockerignore. El backend ya fue ejecutado en Docker con conexión real a MongoDB.</w:t>
      </w:r>
      <w:r w:rsidDel="00000000" w:rsidR="00000000" w:rsidRPr="00000000">
        <w:rPr>
          <w:rtl w:val="0"/>
        </w:rPr>
      </w:r>
    </w:p>
    <w:tbl>
      <w:tblPr>
        <w:tblStyle w:val="Table1"/>
        <w:tblW w:w="95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3"/>
        <w:gridCol w:w="3173"/>
        <w:gridCol w:w="3173"/>
        <w:tblGridChange w:id="0">
          <w:tblGrid>
            <w:gridCol w:w="3173"/>
            <w:gridCol w:w="3173"/>
            <w:gridCol w:w="3173"/>
          </w:tblGrid>
        </w:tblGridChange>
      </w:tblGrid>
      <w:tr>
        <w:trPr>
          <w:cantSplit w:val="1"/>
          <w:tblHeader w:val="1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al 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Multi-stage con node:22-alpine, npm ci, build TypeScript y runtime con dependencias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Servicio backend, build local, container_name campuslink-api, env_file .env, puerto 3000:3000 y restart unless-stopped.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Incluye </w:t>
            </w:r>
            <w:r w:rsidDel="00000000" w:rsidR="00000000" w:rsidRPr="00000000">
              <w:rPr>
                <w:rtl w:val="0"/>
              </w:rPr>
              <w:t xml:space="preserve">las variables para el despliegue del frontend y 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.dockerignore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Excluye node_modules, dist, .env, .git y archivos innecesarios del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/.gitignore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Ignora .env/.env.* y permite versionar .env.example.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Engines Node &gt;=22 &lt;23 y scripts dev/build/start/typecheck.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Ejecución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Verificada previamente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Logs registrados: conexión a MongoDB y API ejecutándose en puerto 3000.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40" w:before="240" w:line="360" w:lineRule="auto"/>
        <w:rPr>
          <w:b w:val="1"/>
          <w:bCs w:val="1"/>
          <w:sz w:val="26"/>
          <w:szCs w:val="26"/>
        </w:rPr>
      </w:pPr>
      <w:bookmarkStart w:colFirst="0" w:colLast="0" w:name="_heading=h.qhzbubkfjxgm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Diseño de contenedorización</w:t>
      </w:r>
    </w:p>
    <w:p w:rsidR="00000000" w:rsidDel="00000000" w:rsidP="00000000" w:rsidRDefault="00000000" w:rsidRPr="00000000" w14:paraId="0000004E">
      <w:pPr>
        <w:pStyle w:val="Heading2"/>
        <w:spacing w:after="240" w:before="240" w:line="360" w:lineRule="auto"/>
        <w:rPr>
          <w:b w:val="1"/>
          <w:bCs w:val="1"/>
          <w:sz w:val="22"/>
          <w:szCs w:val="22"/>
        </w:rPr>
      </w:pPr>
      <w:bookmarkStart w:colFirst="0" w:colLast="0" w:name="_heading=h.lp5iizvd7v2h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Etapa de build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El Dockerfile usa Node 22 Alpine, copia package.json/package-lock.json y ejecuta npm ci. Luego copia tsconfig.json y src, compila TypeScript con npm run build y produce dist. El uso de lockfile + npm ci mejora la reproducibilidad frente a instalaciones no deterministas.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240" w:before="240" w:line="360" w:lineRule="auto"/>
        <w:rPr>
          <w:b w:val="1"/>
          <w:bCs w:val="1"/>
          <w:sz w:val="22"/>
          <w:szCs w:val="22"/>
        </w:rPr>
      </w:pPr>
      <w:bookmarkStart w:colFirst="0" w:colLast="0" w:name="_heading=h.qqpisbblynvw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Etapa de desarrollo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La etapa de desarrollo</w:t>
      </w:r>
      <w:r w:rsidDel="00000000" w:rsidR="00000000" w:rsidRPr="00000000">
        <w:rPr>
          <w:rtl w:val="0"/>
        </w:rPr>
        <w:t xml:space="preserve"> vuelve a partir de Node 22 Alpine, fija NODE_ENV=development,</w:t>
      </w:r>
      <w:r w:rsidDel="00000000" w:rsidR="00000000" w:rsidRPr="00000000">
        <w:rPr>
          <w:rtl w:val="0"/>
        </w:rPr>
        <w:t xml:space="preserve"> instala únicamente dependencias de producción mediante npm ci --omit=dev, copia dist desde build, expone el puerto 3000 y ejecuta npm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240" w:before="240" w:line="360" w:lineRule="auto"/>
        <w:rPr>
          <w:b w:val="1"/>
          <w:bCs w:val="1"/>
          <w:sz w:val="22"/>
          <w:szCs w:val="22"/>
        </w:rPr>
      </w:pPr>
      <w:bookmarkStart w:colFirst="0" w:colLast="0" w:name="_heading=h.1zmv4tlw86zo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Docker Compose 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Compose construye el backend desde backendclink, usa el Dockerfile del proyecto, inyecta el archivo .env en tiempo de ejecución, mapea 3000:3000 y aplica restart: unless-stopped. MongoDB y Supabase permanecen externos, por lo que sus URLs/credenciales se configuran mediante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40" w:before="240" w:line="360" w:lineRule="auto"/>
        <w:rPr>
          <w:rFonts w:ascii="Play" w:cs="Play" w:eastAsia="Play" w:hAnsi="Play"/>
          <w:b w:val="1"/>
          <w:bCs w:val="1"/>
          <w:color w:val="163a5f"/>
          <w:sz w:val="32"/>
          <w:szCs w:val="32"/>
        </w:rPr>
      </w:pPr>
      <w:bookmarkStart w:colFirst="0" w:colLast="0" w:name="_heading=h.w9mk8vbr6et3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Configuración y variables actuales</w:t>
      </w:r>
      <w:r w:rsidDel="00000000" w:rsidR="00000000" w:rsidRPr="00000000">
        <w:rPr>
          <w:rtl w:val="0"/>
        </w:rPr>
      </w:r>
    </w:p>
    <w:sdt>
      <w:sdtPr>
        <w:lock w:val="contentLocked"/>
        <w:id w:val="832127285"/>
        <w:tag w:val="goog_rdk_0"/>
      </w:sdtPr>
      <w:sdtContent>
        <w:tbl>
          <w:tblPr>
            <w:tblStyle w:val="Table2"/>
            <w:tblW w:w="9516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79"/>
            <w:gridCol w:w="2379"/>
            <w:gridCol w:w="2379"/>
            <w:gridCol w:w="2379"/>
            <w:tblGridChange w:id="0">
              <w:tblGrid>
                <w:gridCol w:w="2379"/>
                <w:gridCol w:w="2379"/>
                <w:gridCol w:w="2379"/>
                <w:gridCol w:w="2379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Variable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Uso actual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Obligatoria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spacing w:line="36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Dónde se define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PORT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Puerto HTTP; default 3000.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NODE_ENV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Modo de ejecución; Dockerfile fija development.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MONGODB_URI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Conexión a MongoDB Atlas.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MONGODB_DB_NAME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lógico de la base; default campuslink en env.ts.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estrictamente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SUPABASE_URL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URL del proyecto Supabase.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SUPABASE_PUBLISHABLE_KEY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Clave pública de Supabase.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SUPABASE_SECRET_KEY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Clave privada del backend para Supabase.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SUPABASE_JWKS_URL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URL para validar JWT de Supabase.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CAMPUS_ID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del campus.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Sí, para el módulo del mapa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MAP_VERSION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Versión del mapa.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Sí, para el módulo del mapa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MAP_STATUS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del mapa.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Sí, para el módulo del mapa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</w:t>
                </w:r>
              </w:p>
            </w:tc>
          </w:tr>
          <w:tr>
            <w:trPr>
              <w:cantSplit w:val="1"/>
              <w:trHeight w:val="533.935546875" w:hRule="atLeast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EXPO_PUBLIC_API_URL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URL del backend usada por el frontend.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Sí</w:t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.env.example del frontend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Observación: .env.example actual es mínimo y suficiente para el estado del proyecto a la fecha de 05/10/2026. Cuando el proyecto llegue a necesitar otras integraciones con variables de entorno en runtime, el catálogo deberá ampliarse con las variables reales requeridas, siempre sin secretos.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40" w:before="240" w:line="360" w:lineRule="auto"/>
        <w:rPr>
          <w:b w:val="1"/>
          <w:bCs w:val="1"/>
          <w:sz w:val="26"/>
          <w:szCs w:val="26"/>
        </w:rPr>
      </w:pPr>
      <w:bookmarkStart w:colFirst="0" w:colLast="0" w:name="_heading=h.x0m729vmj1sj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Procedimiento reproducible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Antes de ejecutar, se deben completar localmente las variables de entorno tanto como en el frontend y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tl w:val="0"/>
        </w:rPr>
        <w:t xml:space="preserve">Desde el backend del proyecto, el uso de comandos del proyecto actual para iniciar docker es: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Copy-Item .env.example .env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  <w:t xml:space="preserve">docker compose up -d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240" w:before="240" w:line="360" w:lineRule="auto"/>
        <w:rPr>
          <w:b w:val="1"/>
          <w:bCs w:val="1"/>
          <w:sz w:val="26"/>
          <w:szCs w:val="26"/>
        </w:rPr>
      </w:pPr>
      <w:bookmarkStart w:colFirst="0" w:colLast="0" w:name="_heading=h.8290ioedk9t8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Plan para garantizar portabilidad </w:t>
      </w:r>
    </w:p>
    <w:p w:rsidR="00000000" w:rsidDel="00000000" w:rsidP="00000000" w:rsidRDefault="00000000" w:rsidRPr="00000000" w14:paraId="00000090">
      <w:pPr>
        <w:spacing w:line="360" w:lineRule="auto"/>
        <w:rPr/>
      </w:pPr>
      <w:r w:rsidDel="00000000" w:rsidR="00000000" w:rsidRPr="00000000">
        <w:rPr>
          <w:rtl w:val="0"/>
        </w:rPr>
        <w:t xml:space="preserve">1.  Conservar Node 22 y package-lock.json como contrato de ejecución, utilizando npm ci en build y producción.</w:t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  <w:t xml:space="preserve">2.  Mantener .dockerignore y .gitignore para excluir dependencias locales, dist, secretos y metadatos que no deben entrar a la imagen.</w:t>
      </w:r>
    </w:p>
    <w:p w:rsidR="00000000" w:rsidDel="00000000" w:rsidP="00000000" w:rsidRDefault="00000000" w:rsidRPr="00000000" w14:paraId="00000092">
      <w:pPr>
        <w:spacing w:line="360" w:lineRule="auto"/>
        <w:rPr/>
      </w:pPr>
      <w:r w:rsidDel="00000000" w:rsidR="00000000" w:rsidRPr="00000000">
        <w:rPr>
          <w:rtl w:val="0"/>
        </w:rPr>
        <w:t xml:space="preserve">3.  Mantener toda dependencia externa parametrizada por variables de entorno y documentar sus defaults/obligatoriedad en el archivo .env example.</w:t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  <w:t xml:space="preserve">4.  Construir desde cero y comprobar health + endpoint de mapa clonando el repositorio del proyecto y siguiendo los mismos pasos documentados.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  <w:t xml:space="preserve">5.  Repetir la prueba en un segundo equipo o ambiente Docker compatible sin copiar node_modules ni configuraciones locales ocultas.</w:t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240" w:before="240" w:line="360" w:lineRule="auto"/>
        <w:rPr>
          <w:b w:val="1"/>
          <w:bCs w:val="1"/>
          <w:sz w:val="26"/>
          <w:szCs w:val="26"/>
        </w:rPr>
      </w:pPr>
      <w:bookmarkStart w:colFirst="0" w:colLast="0" w:name="_heading=h.3ep19ww4jcwo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Criterios de aceptación  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  <w:t xml:space="preserve">1.  Dockerfile y Compose existen en la rama entregable y usan nombres/rutas coherentes.</w:t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  <w:t xml:space="preserve">2.  La imagen se construye usando package-lock.json y npm ci sin requerir Node instalado en el host para ejecutar el backend contenedorizado.</w:t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  <w:t xml:space="preserve">3.  El contenedor recibe secretos mediante entorno y .env no forma parte de la imagen ni del repositorio.</w:t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  <w:t xml:space="preserve">4.  La conexión a servicios MongoDB y Supabase se establece antes de abrir la API y el log permite verificar el arranque.</w:t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  <w:t xml:space="preserve">5.  La misma definición se ejecuta en un segundo ambiente compatible o se documenta cualquier diferencia necesaria.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Play" w:cs="Play" w:eastAsia="Play" w:hAnsi="Play"/>
          <w:b w:val="1"/>
          <w:bCs w:val="1"/>
          <w:color w:val="163a5f"/>
          <w:sz w:val="32"/>
          <w:szCs w:val="32"/>
        </w:rPr>
      </w:pPr>
      <w:r w:rsidDel="00000000" w:rsidR="00000000" w:rsidRPr="00000000">
        <w:rPr>
          <w:rtl w:val="0"/>
        </w:rPr>
        <w:t xml:space="preserve">6.  El catálogo de variables coincide con el código realmente utilizado en la versión entregada.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240" w:before="240" w:line="360" w:lineRule="auto"/>
        <w:rPr>
          <w:b w:val="1"/>
          <w:bCs w:val="1"/>
          <w:sz w:val="26"/>
          <w:szCs w:val="26"/>
        </w:rPr>
      </w:pPr>
      <w:bookmarkStart w:colFirst="0" w:colLast="0" w:name="_heading=h.pdtpopfpv0ao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Conclusión </w:t>
      </w:r>
    </w:p>
    <w:p w:rsidR="00000000" w:rsidDel="00000000" w:rsidP="00000000" w:rsidRDefault="00000000" w:rsidRPr="00000000" w14:paraId="000000A8">
      <w:pPr>
        <w:spacing w:line="360" w:lineRule="auto"/>
        <w:rPr/>
      </w:pPr>
      <w:r w:rsidDel="00000000" w:rsidR="00000000" w:rsidRPr="00000000">
        <w:rPr>
          <w:rtl w:val="0"/>
        </w:rPr>
        <w:t xml:space="preserve">La portabilidad del backend está significativamente más avanzada que en la primera revisión: la rama actual contiene Dockerfile multietapa, Compose, .env.example, .dockerignore y una versión de Node acotada; además, el contenedor ya ha conectado a MongoDB y levantado la API. El trabajo que falta para “garantizar” el RNF es principalmente de evidencia y cierre: repetir el procedimiento desde cero, comprobar endpoints y ejecutarlo en un segundo ambiente compatible.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zQxxXYLLg2L97mw9e3k1OwoNA==">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