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kgzjtlvuge8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nbm76vdle71v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fny4w9r5iaj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Rendimiento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cw6x1a2qau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="360" w:lineRule="auto"/>
        <w:rPr>
          <w:b w:val="1"/>
          <w:bCs w:val="1"/>
          <w:sz w:val="26"/>
          <w:szCs w:val="26"/>
        </w:rPr>
      </w:pPr>
      <w:bookmarkStart w:colFirst="0" w:colLast="0" w:name="_heading=h.xcujrjiz7h69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19109826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cujrjiz7h6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gmxdb5do6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y alcance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b3q51kz8r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Estado técnico actual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tfzns4ig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Rutas críticas y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l0ztp5b8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Medidas para garantizar rendimiento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d0lo54u9h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Métricas y 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eqm7m1v2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Plan de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yiavxoz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aceptación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z7sza4k4u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p6wh05a81ut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3q6qpqnkv8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n14xchluyn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4mv9y2l17h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4ecjgtdxnd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13nu6b3qn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17u5m4r8rm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v6d53bt506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g6gmxdb5do6j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 y alcance del documento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Este documento define cómo CampusLink controlará el rendimiento del cliente móvil, la API, las consultas a MongoDB/PostgreSQL y el acceso a archivos. Teniendo en consideración el estado real del proyecto al 05/10/2026 y se evita declarar como cumplidos tiempos o capacidades que todavía no hayan sido medidos, el resultado de las pruebas definidas en este documento estará disponible en el documento DC-29 Pruebas de rendimiento en un futuro cercano.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El rendimiento se validará con métricas reproducibles sobre operaciones reales, registrando ambiente, dataset, concurrencia,tasa de error y consumo relevante. Una optimización sólo se considerará útil cuando una medición antes/después la justifique.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gmb3q51kz8rz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Estado técnico actual 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Estado del documento: diseño completado para Sprint 4 / línea base cuantitativa pendiente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Ya existen decisiones e implementaciones favorables al rendimiento. Falta convertirlas en una línea base medible y fijar umbrales de aceptación acordados por el equipo.</w:t>
      </w:r>
    </w:p>
    <w:p w:rsidR="00000000" w:rsidDel="00000000" w:rsidP="00000000" w:rsidRDefault="00000000" w:rsidRPr="00000000" w14:paraId="00000032">
      <w:pPr>
        <w:spacing w:after="120" w:line="360" w:lineRule="auto"/>
        <w:rPr>
          <w:rFonts w:ascii="Aptos" w:cs="Aptos" w:eastAsia="Aptos" w:hAnsi="Aptos"/>
          <w:color w:val="202d3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3"/>
        <w:gridCol w:w="3173"/>
        <w:gridCol w:w="3173"/>
        <w:tblGridChange w:id="0">
          <w:tblGrid>
            <w:gridCol w:w="3173"/>
            <w:gridCol w:w="3173"/>
            <w:gridCol w:w="3173"/>
          </w:tblGrid>
        </w:tblGridChange>
      </w:tblGrid>
      <w:tr>
        <w:trPr>
          <w:cantSplit w:val="1"/>
          <w:tblHeader w:val="1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Frontend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mapApi.ts consume GET /api/v1/maps/:campusId/active; mapDataStore con Zustand conserva el mapa cargado y evita solicitudes duplicadas mientras hay datos o carga en 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Reduce llamadas repetidas durante la sesión y evita concurrencia duplicada al cargar 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Render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El GLB permanece empaquetado en la aplicación; los datos de edificios/pisos/POI se obtienen desde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Separa el asset visual de los datos dinámicos y evita descargar el modelo en cada apertura.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Node.js/Express de larga duración, API versionada y Node 22.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Permite reutilizar recursos del proceso y medir endpoints de forma estable.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Cliente/pool reutilizable y consulta findOne por campusId + status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Evita abrir conexiones por petición y coincide con el índice de mapa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MongoDB 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Índices para campus/version, mapa activo, actividades por campus/estado/fecha y participaciones.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Reduce escaneos completos en patrones de consulta previstos.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Modelo de datos final contiene índices para publicaciones, solicitudes, transacciones, notificaciones, interacciones, auditoría y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Prepara consultas frecuentes para crecer sin depender de scans 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Supabase Storage separado de PostgreSQL; límite de archivo de 25 MB modelado.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color w:val="202d37"/>
              </w:rPr>
            </w:pPr>
            <w:r w:rsidDel="00000000" w:rsidR="00000000" w:rsidRPr="00000000">
              <w:rPr>
                <w:color w:val="202d37"/>
                <w:rtl w:val="0"/>
              </w:rPr>
              <w:t xml:space="preserve">Evita almacenar binarios dentro de la base transaccional y limita payloads de archivo.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360" w:lineRule="auto"/>
        <w:rPr>
          <w:rFonts w:ascii="Play" w:cs="Play" w:eastAsia="Play" w:hAnsi="Play"/>
          <w:b w:val="1"/>
          <w:bCs w:val="1"/>
          <w:color w:val="163a5f"/>
          <w:sz w:val="32"/>
          <w:szCs w:val="32"/>
        </w:rPr>
      </w:pPr>
      <w:bookmarkStart w:colFirst="0" w:colLast="0" w:name="_heading=h.mstfzns4igzg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Rutas críticas y riesgos </w:t>
      </w:r>
      <w:r w:rsidDel="00000000" w:rsidR="00000000" w:rsidRPr="00000000">
        <w:rPr>
          <w:rtl w:val="0"/>
        </w:rPr>
      </w:r>
    </w:p>
    <w:sdt>
      <w:sdtPr>
        <w:lock w:val="contentLocked"/>
        <w:id w:val="-2053937222"/>
        <w:tag w:val="goog_rdk_0"/>
      </w:sdtPr>
      <w:sdtContent>
        <w:tbl>
          <w:tblPr>
            <w:tblStyle w:val="Table2"/>
            <w:tblW w:w="9519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73"/>
            <w:gridCol w:w="3173"/>
            <w:gridCol w:w="3173"/>
            <w:tblGridChange w:id="0">
              <w:tblGrid>
                <w:gridCol w:w="3173"/>
                <w:gridCol w:w="3173"/>
                <w:gridCol w:w="3173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Qué debe medirse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/ pantalla prioritaria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hasta contenido útil y bloqueos perceptibles.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Render pesado, red lenta o inicializaciones simultáneas.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Mapa activo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Latencia API, tamaño de respuesta y tiempo hasta representación utilizable.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 creciente o red móvil lenta.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Listados de 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Latencia, cantidad de filas devueltas y memoria.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Endpoints sin límites/paginación.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PostgreSQL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consulta y plan de ejecución.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frecuentes sin índice o joins innecesarios.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executionStats/documentos examinados y uso de índices.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Consultas que no utilicen los índices previstos.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subida/descarga según tamaño y red.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Archivos grandes, red móvil y previews pesadas.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ywl0ztp5b827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Medidas para garantizar rendimiento 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1.  Mantener el cliente MongoDB compartido durante la vida del proceso y evitar conexiones nuevas por request.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2.  Conservar índices vinculados a consultas reales y revisar planes de ejecución antes de agregar nuevos índices.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3.  Implementar límites y paginación en los listados que puedan crecer (recursos, solicitudes, transacciones, reportes), evitando respuestas sin tope.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4.  Mantener archivos en Storage y usar previews/tamaños controlados en vez de transferir datos desde PostgreSQL sin ser explícitamente llamados.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5.  Aprovechar el almacenamiento en Zustand para no volver a pedir el mapa mientras ya esté cargado; definir invalidación/refresh solo cuando exista una necesidad funcional.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6.  Medir los endpoints principales con carga controlada y repetir las pruebas tras cada optimización significativa.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ysd0lo54u9h9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Métricas y objetivos </w:t>
      </w:r>
    </w:p>
    <w:p w:rsidR="00000000" w:rsidDel="00000000" w:rsidP="00000000" w:rsidRDefault="00000000" w:rsidRPr="00000000" w14:paraId="0000006B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Los valores siguientes son decisiones importantes y se mantienen abiertos hasta que el equipo defina el ambiente de referencia y ejecute una línea base para el documento DC-29 Pruebas de rendimiento. No deben completarse con números arbitrarios.</w:t>
      </w:r>
    </w:p>
    <w:sdt>
      <w:sdtPr>
        <w:lock w:val="contentLocked"/>
        <w:id w:val="-1725453362"/>
        <w:tag w:val="goog_rdk_1"/>
      </w:sdtPr>
      <w:sdtContent>
        <w:tbl>
          <w:tblPr>
            <w:tblStyle w:val="Table3"/>
            <w:tblW w:w="9519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73"/>
            <w:gridCol w:w="3173"/>
            <w:gridCol w:w="3173"/>
            <w:tblGridChange w:id="0">
              <w:tblGrid>
                <w:gridCol w:w="3173"/>
                <w:gridCol w:w="3173"/>
                <w:gridCol w:w="3173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Métrica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Objetivo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Condición de medición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Latencia API típica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[POR DEFINIR] 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en Docker + servicios reales + dataset acordado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Endpoint mapa activo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[POR DEFINIR] 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Mapa real del campus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relacional crítica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[POR DEFINIR] 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Dataset y filtro representativo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de pantalla prioritaria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[POR DEFINIR] 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 de demo + red acordada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Tasa de error bajo carga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[POR DEFINIR] 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Concurrencia/duración acordadas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c0eqm7m1v254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Plan de pruebas 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1.  Congelar una versión de la rama, dispositivo/equipo, red, Docker/Node y dataset para que la prueba pueda repetirse.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2.  Medir primero GET /api/v1/health y GET /api/v1/maps/:campusId/active como línea base del backend real actual.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3.  Agregar una consulta relacional representativa cuando el primer endpoint Supabase/PostgreSQL esté conectado.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4.  Ejecutar pruebas secuenciales y luego concurrentes registrando errores, CPU y memoria.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5.  Medir en el dispositivo de demo el tiempo de carga del mapa y distinguir tiempo de red de tiempo de render.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6.  Si una métrica incumple el objetivo acordado, identificar el componente, aplicar una optimización concreta y repetir exactamente el escenario.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wlyiavxoz6f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Criterios de aceptación 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1.  Existe una línea base reproducible para los endpoints y pantallas seleccionados.</w:t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2.  Cada prueba registra ambiente, versión, dataset, concurrencia, duración, tasa de error y observaciones.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3.  Los listados de crecimiento potencial incorporan límites/paginación antes de considerarse cerrados.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4.  Las consultas críticas utilizan índices adecuados o existe una justificación documentada cuando no corresponda.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5.  No se declaran metas de latencia o capacidad como cumplidas sin evidencia.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6.  Toda optimización relevante queda respaldada por comparación bajo condiciones equivalentes.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heading=h.ojz7sza4k4ud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Conclusión 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El proyecto ya incorpora medidas concretas de rendimiento: almacenamiento en cliente para el mapa, una consulta MongoDB alineada con índices, reutilización de conexiones, índices en ambos motores y separación de archivos. El requisito se garantizará convirtiendo estas decisiones en una línea base medible y aplicando límites/paginación a los módulos que crezcan. Las cifras de aceptación permanecen pendientes hasta un futuro cercano porque deben ser acordadas y probadas, no inventadas.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5A+lqU4n2ELYoscdwJEWqlccA==">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