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1676870703"/>
        <w:tag w:val="goog_rdk_0"/>
      </w:sdtPr>
      <w:sdtContent>
        <w:p w:rsidR="00000000" w:rsidDel="00000000" w:rsidP="00000000" w:rsidRDefault="00000000" w:rsidRPr="00000000" w14:paraId="00000001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24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</w:rPr>
          </w:pPr>
          <w:bookmarkStart w:colFirst="0" w:colLast="0" w:name="_heading=h.jkqccz72ufer" w:id="0"/>
          <w:bookmarkEnd w:id="0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  <w:rtl w:val="0"/>
            </w:rPr>
            <w:t xml:space="preserve">DuocUC</w:t>
          </w:r>
        </w:p>
      </w:sdtContent>
    </w:sdt>
    <w:sdt>
      <w:sdtPr>
        <w:id w:val="-206882475"/>
        <w:tag w:val="goog_rdk_1"/>
      </w:sdtPr>
      <w:sdtContent>
        <w:p w:rsidR="00000000" w:rsidDel="00000000" w:rsidP="00000000" w:rsidRDefault="00000000" w:rsidRPr="00000000" w14:paraId="00000002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smallCap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32"/>
              <w:szCs w:val="32"/>
              <w:rtl w:val="0"/>
            </w:rPr>
            <w:t xml:space="preserve">Escuela de Informática y Telecomunicaciones</w:t>
          </w:r>
        </w:p>
      </w:sdtContent>
    </w:sdt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a79w8x67exep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c5js77o7avq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Plan de pruebas y evidencias #1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sdt>
      <w:sdtPr>
        <w:id w:val="-1582017473"/>
        <w:tag w:val="goog_rdk_2"/>
      </w:sdtPr>
      <w:sdtContent>
        <w:p w:rsidR="00000000" w:rsidDel="00000000" w:rsidP="00000000" w:rsidRDefault="00000000" w:rsidRPr="00000000" w14:paraId="00000008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Carlos Soto, Brian Chávez, Juan Pablo Arriagada</w:t>
          </w:r>
        </w:p>
      </w:sdtContent>
    </w:sdt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-685662018"/>
        <w:tag w:val="goog_rdk_3"/>
      </w:sdtPr>
      <w:sdtContent>
        <w:p w:rsidR="00000000" w:rsidDel="00000000" w:rsidP="00000000" w:rsidRDefault="00000000" w:rsidRPr="00000000" w14:paraId="0000000C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Docentes: Jazna Meza, Juan Pablo Mellado</w:t>
          </w:r>
        </w:p>
      </w:sdtContent>
    </w:sdt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148257962"/>
        <w:tag w:val="goog_rdk_4"/>
      </w:sdtPr>
      <w:sdtContent>
        <w:p w:rsidR="00000000" w:rsidDel="00000000" w:rsidP="00000000" w:rsidRDefault="00000000" w:rsidRPr="00000000" w14:paraId="0000000E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Fecha de entrega (14 de Septiembre, 2026)</w:t>
          </w:r>
        </w:p>
      </w:sdtContent>
    </w:sdt>
    <w:sdt>
      <w:sdtPr>
        <w:id w:val="1131431044"/>
        <w:tag w:val="goog_rdk_5"/>
      </w:sdtPr>
      <w:sdtContent>
        <w:p w:rsidR="00000000" w:rsidDel="00000000" w:rsidP="00000000" w:rsidRDefault="00000000" w:rsidRPr="00000000" w14:paraId="0000000F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Concepción – Chile</w:t>
          </w:r>
        </w:p>
      </w:sdtContent>
    </w:sdt>
    <w:p w:rsidR="00000000" w:rsidDel="00000000" w:rsidP="00000000" w:rsidRDefault="00000000" w:rsidRPr="00000000" w14:paraId="0000001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1"/>
        <w:widowControl w:val="1"/>
        <w:spacing w:after="120" w:before="200" w:lineRule="auto"/>
        <w:jc w:val="left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dt>
      <w:sdtPr>
        <w:id w:val="17953491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Objetivo y alcance del plan de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Matriz de pruebas del sprint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Evidencias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widowControl w:val="1"/>
        <w:tabs>
          <w:tab w:val="left" w:leader="none" w:pos="8787"/>
        </w:tabs>
        <w:spacing w:after="50" w:lineRule="auto"/>
        <w:ind w:left="113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1"/>
        <w:widowControl w:val="1"/>
        <w:spacing w:after="120" w:before="200" w:line="360" w:lineRule="auto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y alcance del 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presente documento registra las pruebas y evidencias asociadas a los entregables del Sprint 1 de CampusLink. Su finalidad es relacionar cada resultado definido en el Definition of Done con una verificación observable, un resultado esperado y la evidencia disponible.</w:t>
      </w:r>
    </w:p>
    <w:p w:rsidR="00000000" w:rsidDel="00000000" w:rsidP="00000000" w:rsidRDefault="00000000" w:rsidRPr="00000000" w14:paraId="0000001B">
      <w:pPr>
        <w:spacing w:after="12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validación se limita a lo que puede demostrarse con los documentos y capturas entregadas.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1"/>
        <w:widowControl w:val="1"/>
        <w:spacing w:after="120" w:before="20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Matriz de pruebas del sprint 1</w:t>
      </w:r>
      <w:r w:rsidDel="00000000" w:rsidR="00000000" w:rsidRPr="00000000">
        <w:rPr>
          <w:rtl w:val="0"/>
        </w:rPr>
      </w:r>
    </w:p>
    <w:tbl>
      <w:tblPr>
        <w:tblStyle w:val="Table1"/>
        <w:tblW w:w="8325.0" w:type="dxa"/>
        <w:jc w:val="center"/>
        <w:tblLayout w:type="fixed"/>
        <w:tblLook w:val="0400"/>
      </w:tblPr>
      <w:tblGrid>
        <w:gridCol w:w="1860"/>
        <w:gridCol w:w="2505"/>
        <w:gridCol w:w="3960"/>
        <w:tblGridChange w:id="0">
          <w:tblGrid>
            <w:gridCol w:w="1860"/>
            <w:gridCol w:w="2505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/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Prueba y 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[F2.1-01]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Base funcional del modelo 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Ejecutar CampusLink en Expo y comprobar que el modelo se carga y visualiza sin errores críticos.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Tarea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Preparación del proyecto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Verificar una estructura de proyecto versionada y disponible para continuar el desarrollo.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DC-01 / DC-02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Documentación inicial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Comprobar que la documentación inicial del producto describa el problema, actores, propuesta de valor y alcance vigente, y que el Product Backlog mantenga una organización trazable, con identificadores consistentes y su carácter preliminar claramente definido. </w:t>
            </w:r>
          </w:p>
        </w:tc>
      </w:tr>
      <w:tr>
        <w:trPr>
          <w:cantSplit w:val="0"/>
          <w:trHeight w:val="2662.338867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DC-03 / DC-04 / DC-07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Organización del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Verificar disponibilidad de Sprint Backlog, Definition of Done y Plan de Pruebas y Evidencias.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Tarea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Reglas de negocio preliminares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Verificar una primera versión de reglas claras, trazables y sujetas a revisión cuando corresponda.</w:t>
            </w:r>
          </w:p>
        </w:tc>
      </w:tr>
      <w:tr>
        <w:trPr>
          <w:cantSplit w:val="0"/>
          <w:trHeight w:val="2132.87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Tarea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Modelamiento exploratorio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Verificar entidades, atributos, relaciones, cardinalidades y decisiones abiertas del modelo preliminar.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Tarea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Preparación técnica para el 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Verificar análisis inicial de persistencia relacional/NoSQL y dependencias o preguntas pendientes.</w:t>
            </w:r>
          </w:p>
        </w:tc>
      </w:tr>
    </w:tbl>
    <w:p w:rsidR="00000000" w:rsidDel="00000000" w:rsidP="00000000" w:rsidRDefault="00000000" w:rsidRPr="00000000" w14:paraId="00000035">
      <w:pPr>
        <w:widowControl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1"/>
        <w:widowControl w:val="1"/>
        <w:spacing w:after="120" w:before="200" w:line="360" w:lineRule="auto"/>
        <w:jc w:val="left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siguientes capturas corresponden a los archivos incluidos en el paquete de evidencias del Sprint 1.</w:t>
        <w:br w:type="textWrapping"/>
        <w:br w:type="textWrapping"/>
        <w:t xml:space="preserve">Base funcional del modelo 3D:</w:t>
      </w:r>
    </w:p>
    <w:p w:rsidR="00000000" w:rsidDel="00000000" w:rsidP="00000000" w:rsidRDefault="00000000" w:rsidRPr="00000000" w14:paraId="00000038">
      <w:pPr>
        <w:spacing w:after="120"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554162" cy="352273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4162" cy="3522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301463" cy="8725853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1463" cy="872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360" w:lineRule="auto"/>
        <w:jc w:val="both"/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highlight w:val="red"/>
        </w:rPr>
      </w:pPr>
      <w:r w:rsidDel="00000000" w:rsidR="00000000" w:rsidRPr="00000000">
        <w:rPr>
          <w:sz w:val="22"/>
          <w:szCs w:val="22"/>
          <w:rtl w:val="0"/>
        </w:rPr>
        <w:t xml:space="preserve">Preparación del proyecto base:</w:t>
        <w:br w:type="textWrapping"/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76310" cy="32131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360" w:lineRule="auto"/>
        <w:jc w:val="both"/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highlight w:val="red"/>
        </w:rPr>
      </w:pPr>
      <w:r w:rsidDel="00000000" w:rsidR="00000000" w:rsidRPr="00000000">
        <w:rPr>
          <w:sz w:val="22"/>
          <w:szCs w:val="22"/>
          <w:rtl w:val="0"/>
        </w:rPr>
        <w:t xml:space="preserve">Documentación inicial del producto: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765743" cy="3518082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5743" cy="3518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937193" cy="350023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7193" cy="3500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Organización del Sprint 1:</w:t>
        <w:br w:type="textWrapping"/>
        <w:br w:type="textWrapping"/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76310" cy="3200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br w:type="textWrapping"/>
        <w:t xml:space="preserve">Reglas de negocio preliminares:</w:t>
        <w:br w:type="textWrapping"/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76310" cy="3517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41">
      <w:pPr>
        <w:spacing w:after="120"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36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Modelamiento exploratorio de datos:</w:t>
        <w:br w:type="textWrapping"/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76310" cy="3886200"/>
            <wp:effectExtent b="0" l="0" r="0" t="0"/>
            <wp:docPr id="1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Preparación técnica para el Sprint 2:</w:t>
      </w:r>
      <w:r w:rsidDel="00000000" w:rsidR="00000000" w:rsidRPr="00000000">
        <w:rPr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76310" cy="2108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2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jpg"/><Relationship Id="rId14" Type="http://schemas.openxmlformats.org/officeDocument/2006/relationships/image" Target="media/image7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ljzyE9cpsj8zD7RMad39yMhiXg==">CgMxLjAaDQoBMBIICgYIBTICCAEaDQoBMRIICgYIBTICCAEaDQoBMhIICgYIBTICCAEaDQoBMxIICgYIBTICCAEaDQoBNBIICgYIBTICCAEaDQoBNRIICgYIBTICCAEyDmguamtxY2N6NzJ1ZmVyMg5oLmE3OXc4eDY3ZXhlcDIOaC5jNWpzNzdvN2F2cWU4AHIhMWNTaHRLMjFJcDdvd1p5dVBtV1dLTGpNQXpheXdDZEFL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