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1412151449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jkqccz72ufer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-1220724554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a79w8x67exep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Plan de pruebas y evidencias #4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351365256"/>
        <w:tag w:val="goog_rdk_2"/>
      </w:sdtPr>
      <w:sdtContent>
        <w:p w:rsidR="00000000" w:rsidDel="00000000" w:rsidP="00000000" w:rsidRDefault="00000000" w:rsidRPr="00000000" w14:paraId="00000008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367364299"/>
        <w:tag w:val="goog_rdk_3"/>
      </w:sdtPr>
      <w:sdtContent>
        <w:p w:rsidR="00000000" w:rsidDel="00000000" w:rsidP="00000000" w:rsidRDefault="00000000" w:rsidRPr="00000000" w14:paraId="0000000C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96811455"/>
        <w:tag w:val="goog_rdk_4"/>
      </w:sdtPr>
      <w:sdtContent>
        <w:p w:rsidR="00000000" w:rsidDel="00000000" w:rsidP="00000000" w:rsidRDefault="00000000" w:rsidRPr="00000000" w14:paraId="0000000E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(5 de Octubre, 2026)</w:t>
          </w:r>
        </w:p>
      </w:sdtContent>
    </w:sdt>
    <w:sdt>
      <w:sdtPr>
        <w:id w:val="1563629378"/>
        <w:tag w:val="goog_rdk_5"/>
      </w:sdtPr>
      <w:sdtContent>
        <w:p w:rsidR="00000000" w:rsidDel="00000000" w:rsidP="00000000" w:rsidRDefault="00000000" w:rsidRPr="00000000" w14:paraId="0000000F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– Chile</w:t>
          </w:r>
        </w:p>
      </w:sdtContent>
    </w:sdt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1"/>
        <w:widowControl w:val="1"/>
        <w:spacing w:after="120" w:before="200" w:lineRule="auto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id w:val="5155532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 y alcance del plan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Matriz de pruebas del sprint 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Evidencias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widowControl w:val="1"/>
        <w:tabs>
          <w:tab w:val="left" w:leader="none" w:pos="8787"/>
        </w:tabs>
        <w:spacing w:after="50" w:lineRule="auto"/>
        <w:ind w:left="11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y alcance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presente documento registra las pruebas y evidencias asociadas a los entregables del Sprint 4 de CampusLink. Su finalidad es relacionar los criterios establecidos en el Definition of Done con una verificación observable, un resultado esperado y la evidencia disponible para cada entregable.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 validación se limita a lo que puede demostrarse mediante los documentos, archivos de configuración, ejecuciones y capturas entregadas. Las pruebas consideran la revisión individual y cruzada del Documento de Diseño, los diseños no funcionales y los artefactos Docker, manteniendo explícitos los supuestos, riesgos, limitaciones de ambiente y decisiones que todavía dependan de validación técnica o de la implementación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1"/>
        <w:widowControl w:val="1"/>
        <w:spacing w:after="120" w:before="200" w:line="360" w:lineRule="auto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Matriz de pruebas del sprint 4</w:t>
      </w:r>
    </w:p>
    <w:tbl>
      <w:tblPr>
        <w:tblStyle w:val="Table1"/>
        <w:tblW w:w="8325.0" w:type="dxa"/>
        <w:jc w:val="center"/>
        <w:tblLayout w:type="fixed"/>
        <w:tblLook w:val="0400"/>
      </w:tblPr>
      <w:tblGrid>
        <w:gridCol w:w="1860"/>
        <w:gridCol w:w="2505"/>
        <w:gridCol w:w="3960"/>
        <w:tblGridChange w:id="0">
          <w:tblGrid>
            <w:gridCol w:w="1860"/>
            <w:gridCol w:w="2505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ID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 y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DC-03 / DC-04 / DC-07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Organización del 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la disponibilidad y coherencia del Sprint Backlog #4, Definition of Done #4 y Plan de Pruebas y Evidencias. Comprobar que reflejen el foco del sprint, el seguimiento del 28/09/2026 al 02/10/2026, los responsables, estados y decisiones abiertas, manteniendo consistencia entre identificadores y documentación.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Comprobar que el Documento de Diseño consolide arquitectura, modelo de datos, diagramas UML, diseño Docker y componentes; que mantenga consistencia con los documentos de origen, priorice información técnica relevante dentro de la extensión de referencia y señale como revisables las decisiones aún abiertas.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técnico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que el manual describa de forma clara los requisitos, configuración, construcción, despliegue, operación y diagnóstico del entorno de CampusLink. Comprobar que mantenga coherencia con los Dockerfile(s), Docker Compose, el catálogo de variables de entorno, .env.example y la guía reproducible de despliegue, sin incluir secretos reales. Validar además que documente dependencias, versiones, puertos, servicios externos y orientaciones básicas para comprobar el funcionamiento y diagnosticar problemas, dejando explícitas las configuraciones o instrucciones todavía sujetas a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y controles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que el diseño documente controles de autenticación, autorización, aislamiento por campus, auditoría y protección de datos; que diferencie responsabilidades de identidad, roles y permisos, identifique eventos críticos y mantenga explícitos los controles todavía sujetos a refinamiento.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2.33886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Comprobar que se identifiquen objetivos, riesgos, puntos de medición y posibles optimizaciones para cliente, API, consultas y acceso a archivos. Verificar que las optimizaciones no se presenten como resultados comprobados y que los umbrales pendientes de carga real queden señalados como iniciales.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que el diseño explique cómo podrían crecer servicios, datos, archivos y carga; identifique elementos que requieran mayor capacidad, riesgos o limitaciones, y mantenga coherencia con la arquitectura y el Documento de Diseño. Las estrategias dependientes de métricas reales deben quedar como preliminares.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Comprobar que se identifiquen dependencias críticas, fallos esperados, mecanismos de recuperación y criterios de continuidad. Verificar que no se asuman capacidades no comprobadas y que las metas o mecanismos que necesiten pruebas de implementación queden pendientes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Evidencia de portabilidad con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una demostración observable de ejecución consistente en ambientes compatibles y su relación con Dockerfile(s), Docker Compose, variables de entorno y pasos de despliegue. Registrar dependencias, versiones, supuestos y cualquier diferencia o fallo encontrado entre ambientes.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Dockerfile(s)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Comprobar que los Dockerfile(s) permitan construir de forma reproducible las imágenes requeridas, declarando dependencias y pasos de construcción sin incluir secretos reales. Verificar coherencia de nombres, rutas y dependencias con Docker Compose, variables de entorno y la guía de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que Docker Compose permita levantar de forma coordinada los servicios y dependencias del entorno definido, relacionando variables, puertos, volúmenes o redes cuando correspondan. Comprobar consistencia con Dockerfile(s), .env.example y guía de despliegue, dejando visibles las integraciones aún sujetas a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Catálogo de variables de entorno y 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Comprobar que el catálogo identifique nombre, propósito y obligatoriedad de las variables, y que .env.example utilice valores de ejemplo o marcadores seguros. Verificar consistencia con Dockerfile(s), Docker Compose y guía de despliegue, y confirmar que no existan credenciales, tokens, claves privadas ni secretos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Guía reproducible de despliegue en 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que la guía entregue pasos ejecutables y versionables para preparar variables, construir imágenes y levantar servicios. Comprobar coherencia con los artefactos Docker y la evidencia de portabilidad, y que requisitos, dependencias, supuestos e instrucciones sujetas a cambio queden explícitos.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técnico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Comprobar que lo definido en el backlog del proyecto cumpla con la idea de las pantallas y flujo que debe tener el proyecto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Las siguientes secciones quedan preparadas para incorporar capturas o imágenes que respalden los entregables del Sprint 4.</w:t>
      </w:r>
    </w:p>
    <w:p w:rsidR="00000000" w:rsidDel="00000000" w:rsidP="00000000" w:rsidRDefault="00000000" w:rsidRPr="00000000" w14:paraId="0000004A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Organización del Sprint 4 (DC-03 / DC-04 / DC-07):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76310" cy="3200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Documento de diseño (DC-05):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05500" cy="68199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Manual técnico de despliegue (DC-08): </w:t>
        <w:br w:type="textWrapping"/>
      </w:r>
    </w:p>
    <w:p w:rsidR="00000000" w:rsidDel="00000000" w:rsidP="00000000" w:rsidRDefault="00000000" w:rsidRPr="00000000" w14:paraId="0000004F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686425" cy="66960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Diseño y controles de seguridad (DC-19):</w:t>
      </w:r>
    </w:p>
    <w:p w:rsidR="00000000" w:rsidDel="00000000" w:rsidP="00000000" w:rsidRDefault="00000000" w:rsidRPr="00000000" w14:paraId="00000051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91200" cy="66960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Diseño de rendimiento (DC-20):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743575" cy="672465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72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Diseño de escalabilidad (DC-21):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762625" cy="68294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Diseño de disponibilidad (DC-22):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68199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Evidencia de portabilidad con Docker (DC-23):</w:t>
      </w:r>
    </w:p>
    <w:p w:rsidR="00000000" w:rsidDel="00000000" w:rsidP="00000000" w:rsidRDefault="00000000" w:rsidRPr="00000000" w14:paraId="0000005A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24525" cy="67722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7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Dockerfile(s) (DC-24):</w:t>
      </w:r>
    </w:p>
    <w:p w:rsidR="00000000" w:rsidDel="00000000" w:rsidP="00000000" w:rsidRDefault="00000000" w:rsidRPr="00000000" w14:paraId="0000005D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838825" cy="68580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Docker Compose (DC-25):</w:t>
      </w:r>
    </w:p>
    <w:p w:rsidR="00000000" w:rsidDel="00000000" w:rsidP="00000000" w:rsidRDefault="00000000" w:rsidRPr="00000000" w14:paraId="00000060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43575" cy="69151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Catálogo de variables de entorno y .env.example (DC-26):</w:t>
      </w:r>
    </w:p>
    <w:p w:rsidR="00000000" w:rsidDel="00000000" w:rsidP="00000000" w:rsidRDefault="00000000" w:rsidRPr="00000000" w14:paraId="00000063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81675" cy="6667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Guía reproducible de despliegue en Markdown (DC-27):</w:t>
      </w:r>
    </w:p>
    <w:p w:rsidR="00000000" w:rsidDel="00000000" w:rsidP="00000000" w:rsidRDefault="00000000" w:rsidRPr="00000000" w14:paraId="00000066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838825" cy="68294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Diseño técnico:</w:t>
        <w:br w:type="textWrapping"/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6079057" cy="290041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9057" cy="2900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680268" cy="4849327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268" cy="4849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994343" cy="954346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343" cy="9543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775518" cy="7675832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5518" cy="7675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0.png"/><Relationship Id="rId22" Type="http://schemas.openxmlformats.org/officeDocument/2006/relationships/image" Target="media/image4.png"/><Relationship Id="rId10" Type="http://schemas.openxmlformats.org/officeDocument/2006/relationships/image" Target="media/image1.png"/><Relationship Id="rId21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C4qi+CwM4o4JD1aWTxeYz+Ty5A==">CgMxLjAaDQoBMBIICgYIBTICCAEaDQoBMRIICgYIBTICCAEaDQoBMhIICgYIBTICCAEaDQoBMxIICgYIBTICCAEaDQoBNBIICgYIBTICCAEaDQoBNRIICgYIBTICCAEyDmguamtxY2N6NzJ1ZmVyMg5oLmE3OXc4eDY3ZXhlcDgAciExZ0J3bkp4VTJlcW1udzdheEctSWU2R1FlZjllVG9MekU=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