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8282A" w14:textId="77777777" w:rsidR="00A81515" w:rsidRPr="00F5452A" w:rsidRDefault="00A81515" w:rsidP="00A81515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45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УДК 001.89</w:t>
      </w:r>
    </w:p>
    <w:p w14:paraId="1059A11D" w14:textId="5F6E0391" w:rsidR="00A81515" w:rsidRDefault="00A81515" w:rsidP="001D367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A01FC8" w14:textId="77777777" w:rsidR="001A47F6" w:rsidRPr="00F5452A" w:rsidRDefault="001A47F6" w:rsidP="00A81515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9867E72" w14:textId="77777777" w:rsidR="00D1474E" w:rsidRPr="00F5452A" w:rsidRDefault="006F68F2" w:rsidP="006F68F2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45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МЕНЕДЖМЕНТ КАЧЕСТВА НАУЧНО-ТЕХНИЧЕСКОЙ ПРОДУКЦИИ В СИСТЕМЕ РЕГИОНАЛЬНОЙ ПОДДЕРЖКИ НАУЧНО-ТЕХНОЛОГИЧЕСКОГО РАЗВИТИЯ: ИНСТИТУЦИОНАЛЬНЫЙ АСПЕКТ</w:t>
      </w:r>
    </w:p>
    <w:p w14:paraId="17ADBC00" w14:textId="77777777" w:rsidR="006F68F2" w:rsidRPr="00F5452A" w:rsidRDefault="006F68F2" w:rsidP="00A81515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0C6D6A" w14:textId="77777777" w:rsidR="00177F71" w:rsidRPr="00F5452A" w:rsidRDefault="00177F71" w:rsidP="00177F71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CE5A4B" w14:textId="77777777" w:rsidR="00177F71" w:rsidRPr="008037CE" w:rsidRDefault="00177F71" w:rsidP="00177F71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Ермакович Вероника Викторовна – </w:t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главный специалист, Комитет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науке и высшей школе; 191144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Санкт-Петербург,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Новгородская, д.</w:t>
      </w:r>
      <w:r w:rsidRPr="009924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лит.</w:t>
      </w:r>
      <w:r w:rsidRPr="009924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А; 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veronica.ermakovich@yandex.ru</w:t>
      </w:r>
    </w:p>
    <w:p w14:paraId="6A6AC077" w14:textId="77777777" w:rsidR="00177F71" w:rsidRPr="008037CE" w:rsidRDefault="00177F71" w:rsidP="00177F71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4106EC" w14:textId="1C66918A" w:rsidR="008037CE" w:rsidRDefault="00177F71" w:rsidP="00177F71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Крохина Елена Владимировна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ведущий инженер лаборатории бортовых средств синхронизации, АО «</w:t>
      </w:r>
      <w:r w:rsidRPr="00FA16B3">
        <w:rPr>
          <w:rFonts w:ascii="Times New Roman" w:eastAsia="Times New Roman" w:hAnsi="Times New Roman" w:cs="Times New Roman"/>
          <w:sz w:val="28"/>
          <w:szCs w:val="28"/>
          <w:lang w:eastAsia="ru-RU"/>
        </w:rPr>
        <w:t>«Научно-производственное объединение «Северо-Западный региональный 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ентр Концерна ВКО «Алмаз-Антей» – </w:t>
      </w:r>
      <w:proofErr w:type="spellStart"/>
      <w:r w:rsidRPr="00F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Обуховский</w:t>
      </w:r>
      <w:proofErr w:type="spellEnd"/>
      <w:r w:rsidRPr="00F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завод»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»,192012, </w:t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Санкт-Петербург,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Обуховской</w:t>
      </w:r>
      <w:proofErr w:type="spellEnd"/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Обороны, д. 120;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e-</w:t>
      </w:r>
      <w:proofErr w:type="spellStart"/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8037CE">
        <w:rPr>
          <w:rFonts w:ascii="Times New Roman" w:eastAsia="Times New Roman" w:hAnsi="Times New Roman" w:cs="Times New Roman"/>
          <w:sz w:val="28"/>
          <w:szCs w:val="28"/>
          <w:lang w:eastAsia="ru-RU"/>
        </w:rPr>
        <w:t>: lena.krokhina.94@mail.ru</w:t>
      </w:r>
    </w:p>
    <w:p w14:paraId="2D6EA45C" w14:textId="46606819" w:rsidR="004758F8" w:rsidRDefault="00A81515" w:rsidP="004758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45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Аннотация.</w:t>
      </w:r>
    </w:p>
    <w:p w14:paraId="5BBA76DB" w14:textId="77777777" w:rsidR="004758F8" w:rsidRPr="004758F8" w:rsidRDefault="004758F8" w:rsidP="004758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8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Цель.</w:t>
      </w:r>
      <w:r w:rsidRPr="00475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 w:rsidR="006052C2" w:rsidRPr="004758F8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ассм</w:t>
      </w:r>
      <w:r w:rsidRPr="004758F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отреть</w:t>
      </w:r>
      <w:r w:rsidR="006052C2" w:rsidRPr="00475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институциональные аспекты менеджмента качества научно-технической продукции в системе региональной поддержки научно-технологического развития. </w:t>
      </w:r>
    </w:p>
    <w:p w14:paraId="4F01E009" w14:textId="77777777" w:rsidR="001D3679" w:rsidRPr="00177F71" w:rsidRDefault="001D3679" w:rsidP="004758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F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Задачи.</w:t>
      </w:r>
      <w:r>
        <w:t xml:space="preserve"> </w:t>
      </w:r>
      <w:r w:rsidRPr="00177F71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Уточнить понятийные границы научного результата, научно-технической деятельности и научно-технической продукции; определить характеристики качества научно-технической продукции, значимые для регионального управления; показать возможности применения экспертной многокритериальной оценки и инструмента «цифрового портрета премии» для настройки мер поддержки научно-технических результатов.</w:t>
      </w:r>
    </w:p>
    <w:p w14:paraId="0679F741" w14:textId="10776246" w:rsidR="004758F8" w:rsidRPr="004758F8" w:rsidRDefault="004758F8" w:rsidP="004758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8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Методология.</w:t>
      </w:r>
      <w:r w:rsidRPr="00475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052C2" w:rsidRPr="00475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материалах Санкт-Петербурга анализируется институциональная среда поддержки ведущих научных и научно-педагогических школ, а также выявляется проблема недостаточного представительства научно-производственных организаций в действующих механизмах признания и стимулирования. </w:t>
      </w:r>
    </w:p>
    <w:p w14:paraId="462CEC79" w14:textId="1C9FDF56" w:rsidR="004758F8" w:rsidRPr="004758F8" w:rsidRDefault="004758F8" w:rsidP="004758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F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Результаты.</w:t>
      </w:r>
      <w:r>
        <w:t xml:space="preserve"> </w:t>
      </w:r>
      <w:r w:rsidRPr="00177F71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методического подхода предлагается рассматривать качество научно-технической продукции через совокупность характеристик результативности, оперативности и ресурсоемкости ее потенциального применения. Уточнено, что указанные характеристики целесообразно применять к прикладному сегменту научно-технической деятельности, где результат может быть соотнесен с конкретной задачей, потребителем, сроками и ресурсами. Дополнительно обосновывается использование «цифрового портрета премии» как инструмента сопоставления премиальных программ и повышения адресности управленческих решений в сфере поддержки научно-технических результатов.</w:t>
      </w:r>
    </w:p>
    <w:p w14:paraId="4CB1D396" w14:textId="31EC8DF1" w:rsidR="00A81515" w:rsidRPr="004758F8" w:rsidRDefault="004758F8" w:rsidP="004758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F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Выводы.</w:t>
      </w:r>
      <w:r w:rsidRPr="00177F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Сделан вывод о том, что развитие региональных механизмов экспертной оценки, премирования и институциональной координации может способствовать укреплению научно-технологического потенциала субъекта Российской Федерации и его вкладу в достижение общегосударственных целей технологического развития. Показано, что такие механизмы должны учитывать не только публикационные показатели, но и прикладную пригодность научно-технической продукции, ее реализуемость, ресурсоемкость и ожидаемый эффект применения. Для Санкт-Петербурга это связано с необходимостью </w:t>
      </w:r>
      <w:r w:rsidRPr="00177F7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более полного учета вклада научно-производственных организаций, промышленных предприятий, конструкторских бюро и корпоративных исследовательских подразделений.</w:t>
      </w:r>
    </w:p>
    <w:p w14:paraId="25845E41" w14:textId="3BF34EB6" w:rsidR="00A81515" w:rsidRPr="006716D9" w:rsidRDefault="00A81515" w:rsidP="006716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77F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Ключевые слова</w:t>
      </w:r>
      <w:r w:rsidRPr="00177F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77F7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научно-техническая продукция, менеджмент качес</w:t>
      </w:r>
      <w:r w:rsidR="006716D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тва, региональная поддержка научно-технологического развития</w:t>
      </w:r>
      <w:r w:rsidRPr="00177F7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, научно-технологическое развитие, научно-производственная кооперация, премиальные механизмы, институциональная оценка.</w:t>
      </w:r>
    </w:p>
    <w:p w14:paraId="6220BD27" w14:textId="77777777" w:rsidR="00A81515" w:rsidRPr="00177F71" w:rsidRDefault="00A81515" w:rsidP="00A8151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D7D03B" w14:textId="77777777" w:rsidR="002370B6" w:rsidRPr="001D3679" w:rsidRDefault="002370B6" w:rsidP="002370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7BF8B763" w14:textId="77777777" w:rsidR="005E6180" w:rsidRPr="001D3679" w:rsidRDefault="005E6180" w:rsidP="00A8151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A04BDA" w14:textId="77777777" w:rsidR="00A81515" w:rsidRPr="000F0B22" w:rsidRDefault="00A81515" w:rsidP="00A8151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0B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09C6C796" w14:textId="77777777" w:rsidR="00E944C9" w:rsidRPr="00F62B86" w:rsidRDefault="00E944C9" w:rsidP="00E43857">
      <w:pPr>
        <w:tabs>
          <w:tab w:val="left" w:pos="765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6AB8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региональной системе поддержки научно-технологического развития возникает методическая проблема: показатели публикационной активности фиксируют факт научной работы, но не отражают степень готовности научно-технического результата к применению, необходимые ресурсы, сроки его использования и ожидаемый эффект. Поэтому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прикладной научно-технической продукции требуется не противопоставление количественных и качественных критериев, а установление связи между формальными индикаторами, экспертной оценкой и условиями практического применения результата. </w:t>
      </w:r>
    </w:p>
    <w:p w14:paraId="4F40923E" w14:textId="5C0CE4F6" w:rsidR="00B478FC" w:rsidRPr="00F62B86" w:rsidRDefault="00B478FC" w:rsidP="00E43857">
      <w:pPr>
        <w:tabs>
          <w:tab w:val="left" w:pos="765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Ограниченность формальных показателей научной результативности неоднократно отмечалась в отечественной литературе. Так, </w:t>
      </w:r>
      <w:proofErr w:type="spell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С.А.Братченко</w:t>
      </w:r>
      <w:proofErr w:type="spell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рассматривая современную модель государственного управления наукой, показывает, что доминирование </w:t>
      </w:r>
      <w:proofErr w:type="spell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библиометрических</w:t>
      </w:r>
      <w:proofErr w:type="spell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индикаторов стимулирует прежде всего рост публикационной активности, тогда как содержательное влияние научных работ на развитие исследований может снижаться [1]. Для целей настоящей статьи этот вывод используется не для отождествления государственного управления наукой и регионального управления научно-технологическим развитием, а как аргумент в пользу более содержательной оценки прикладных научно-технических результатов. </w:t>
      </w:r>
    </w:p>
    <w:p w14:paraId="7A4AC304" w14:textId="068FA1D8" w:rsidR="0046271E" w:rsidRPr="00F62B86" w:rsidRDefault="001F7EED" w:rsidP="00E43857">
      <w:pPr>
        <w:tabs>
          <w:tab w:val="left" w:pos="765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Особую актуальность данная проблема приобретает на региональном уровне, где органы управления не формируют технологический суверенитет самостоятельно, но создают институциональные условия для вклада субъекта Российской Федерации в достижение общегосударственных целей научно-технологического развития. В условиях реализации Концепции научно-технологического развития Санкт-Петербурга на период до 2030 года [8] и государственной программы Санкт-Петербурга «Экономика знаний в Санкт-Петербурге» [9] особое значение приобретает системное выявление и поддержка ведущих научных коллективов, научных школ и организаций, способных обеспечивать прикладные научно-технические результаты. </w:t>
      </w:r>
    </w:p>
    <w:p w14:paraId="28CF9F43" w14:textId="2D2708DC" w:rsidR="0046271E" w:rsidRPr="00F62B86" w:rsidRDefault="001F7EED" w:rsidP="00E43857">
      <w:pPr>
        <w:tabs>
          <w:tab w:val="left" w:pos="765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научной литературе технологический суверенитет рассматривается как результат согласованного развития научной, промышленной и управленческой подсистем экономики, направленного на снижение внешней технологической зависимости и повышение устойчивости инновационного развития [6]. Сходный акцент делает </w:t>
      </w:r>
      <w:proofErr w:type="spell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М.А.Валишвили</w:t>
      </w:r>
      <w:proofErr w:type="spell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отмечая, что в условиях санкционных ограничений и ограниченного доступа к зарубежным технологиям возрастает значение внутренней инновационной среды, стимулирования разработок и внедрения технологических решений в производственный сектор [2]. </w:t>
      </w:r>
    </w:p>
    <w:p w14:paraId="4A8B4D5D" w14:textId="77777777" w:rsidR="00623AC5" w:rsidRPr="00F62B86" w:rsidRDefault="00623AC5" w:rsidP="00A815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настоящей статье научно-техническая продукция рассматривается не как вся совокупность научных результатов, а как результат научно-технической деятельности прикладного характера. Речь идет о результатах, которые получают форму проекта, модели, макета, экспериментального или опытного образца, программного продукта, методики испытаний, нормативно-технической документации либо иного объекта, пригодного для оценки, передачи, доработки или использования. Такой подход позволяет отделить предмет настоящего исследования от более широкой проблематики оценки научного знания в целом. </w:t>
      </w:r>
    </w:p>
    <w:p w14:paraId="26B44CDB" w14:textId="018DCE5F" w:rsidR="00623AC5" w:rsidRPr="00F62B86" w:rsidRDefault="00B478FC" w:rsidP="001F7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Актуальность исследования определяется тем, что действующие механизмы оценки и признания прикладных научно-технических результатов в значительной степени ориентированы на публикационную активность, </w:t>
      </w:r>
      <w:proofErr w:type="spell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библиометрические</w:t>
      </w:r>
      <w:proofErr w:type="spell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показатели и академическое признание</w:t>
      </w:r>
      <w:r w:rsidR="00623AC5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Вместе с тем для научно-технической продукции прикладного характера существенны не только факт получения результата и его научная новизна, но и реализуемость, </w:t>
      </w:r>
      <w:proofErr w:type="spellStart"/>
      <w:r w:rsidR="00623AC5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</w:t>
      </w:r>
      <w:proofErr w:type="spellEnd"/>
      <w:r w:rsidR="00623AC5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ресурсная обеспеченность, оперативность применения и способность обеспечивать прикладной эффект в конкретных технологических, производственных или управленческих системах. Эти характеристики значимы не только для высокотехнологичных отраслей, но и для </w:t>
      </w:r>
      <w:proofErr w:type="spellStart"/>
      <w:r w:rsidR="00623AC5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среднетехнологичных</w:t>
      </w:r>
      <w:proofErr w:type="spellEnd"/>
      <w:r w:rsidR="00623AC5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производств, инфраструктурных систем, транспорта, связи, промышленной безопасности и иных сфер, где результат исследования должен быть встроен в практическую деятельность. </w:t>
      </w:r>
    </w:p>
    <w:p w14:paraId="0DFBF8DF" w14:textId="77777777" w:rsidR="007C7226" w:rsidRPr="00F62B86" w:rsidRDefault="007C7226" w:rsidP="001F7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материалах Санкт-Петербурга данная проблема проявляется через необходимость более полного учета субъектов, создающих прикладные научно-технические результаты. Город обладает значительным научно-образовательным и промышленным потенциалом, однако институциональные механизмы признания и поддержки научных коллективов не всегда в достаточной степени отражают вклад научно-производственных организаций, промышленных предприятий, конструкторских бюро и корпоративных исследовательских подразделений. Одним из инструментов анализа такой ситуации выступает Реестр ведущих научных и научно-педагогических школ Санкт-Петербурга [10], структура которого позволяет оценить представительство различных типов организаций в системе регионального признания. </w:t>
      </w:r>
    </w:p>
    <w:p w14:paraId="64656837" w14:textId="77777777" w:rsidR="007C7226" w:rsidRPr="00F62B86" w:rsidRDefault="007C7226" w:rsidP="001F7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связи менеджмент качества научно-технической продукции рассматривается как управленческая деятельность, направленная на определение требований к прикладному научно-техническому результату, оценку его соответствия поставленной цели и использование результатов такой оценки при принятии решений о поддержке, признании или дальнейшем развитии научно-технических работ.</w:t>
      </w:r>
    </w:p>
    <w:p w14:paraId="12401F76" w14:textId="475DEB39" w:rsidR="001F7EED" w:rsidRPr="00F62B86" w:rsidRDefault="001F7EED" w:rsidP="001F7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статьи состоит в обосновании институционального подхода к менеджменту качества научно-технической продукции в системе региональной поддержки научно-технологического развития. Для достижения указанной цели решаются следующие задачи: уточнить понятийные границы научного результата, научно-технической продукции и научно-технической деятельности; рассмотреть институциональные условия поддержки прикладных исследований на региональном уровне; предложить подход к оценке качества научно-технической продукции через характеристики результативности, оперативности и ресурсоемкости ее потенциального применения; показать возможности использования «цифрового портрета премии» как инструмента сопоставления и настройки механизмов стимулирования научно-технических результатов.</w:t>
      </w:r>
    </w:p>
    <w:p w14:paraId="41039A7B" w14:textId="31F2D724" w:rsidR="001F7EED" w:rsidRPr="00F62B86" w:rsidRDefault="001F7EED" w:rsidP="001F7E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Методологическую основу исследования составляют институциональный подход, элементы менеджмента качества, анализ нормативных и программных документов в сфере научно-технологического развития, а также методы экспертной многокритериальной оценки научно-технических результатов. Логика исследования основана на предположении о том, что качество научно-технической продукции не может быть сведено только к формальным показателям научной активности и должно рассматриваться через совокупность характеристик, отражающих потенциальный прикладной эффект, достижимость целей применения и необходимые ресурсы.</w:t>
      </w:r>
    </w:p>
    <w:p w14:paraId="31895CD3" w14:textId="77777777" w:rsidR="001F7EED" w:rsidRPr="00F62B86" w:rsidRDefault="001F7EED" w:rsidP="00A815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BAC8EA" w14:textId="51700132" w:rsidR="00F121D3" w:rsidRPr="00F62B86" w:rsidRDefault="00F121D3" w:rsidP="000459A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Концептуальные основы оценки качества научно-технической продукции</w:t>
      </w:r>
    </w:p>
    <w:p w14:paraId="430C3A50" w14:textId="6A2907A4" w:rsidR="007C7226" w:rsidRPr="00F62B86" w:rsidRDefault="007C7226" w:rsidP="000D1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 качества научно-технической продукции требует предварительного уточнения понятийного аппарата, поскольку смешение категорий «научная деятельность», «научно-техническая деятельность», «научный результат» и «научно-техническая продукция» затрудняет формирование корректных управленческих критериев. </w:t>
      </w:r>
      <w:r w:rsidR="00B478FC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представленной работе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научная деятельность рассматривается как более широкая сфера получения и применения новых знаний, научно-техническая деятельность – как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деятельность, связанная с использованием знаний для решения технологических, инженерных, производственных, экономических, социальных и иных задач, научный результат – как более широкая категория результата познавательной деятельности, а</w:t>
      </w:r>
      <w:r w:rsidR="00B478FC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научно-техническая продукция –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оформленный прикладной результат, пригодный для оценки, передачи, внедрения или дальнейшей доработки. </w:t>
      </w:r>
    </w:p>
    <w:p w14:paraId="730CC230" w14:textId="35A7CEF5" w:rsidR="000D1491" w:rsidRPr="00F62B86" w:rsidRDefault="00B478FC" w:rsidP="000D1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настоящего исследования под качеством научно-технической продукции понимается совокупность характеристик научно-технического результата, определяющих его соответствие поставленной цели, потенциальную применимость, реализуемость, </w:t>
      </w:r>
      <w:proofErr w:type="spell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</w:t>
      </w:r>
      <w:proofErr w:type="spell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ресурсную обеспеченность, оперативность применения и ожидаемый эффект для решения технологических, производственных или управленческих задач</w:t>
      </w:r>
      <w:r w:rsidR="007C7226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D1491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Такая трактовка не распространяется на все виды научного знания и не предполагает оценки результатов, ориентированных прежде всего на расширение научного знания, исключительно через критерии непосредственного практического применения. Напротив, она фиксирует предмет настоящей статьи – прикладной сегмент научно-технической деятельности, где результат может быть соотнесен с конкретной задачей, потребителем, технологическим процессом или производственной системой.</w:t>
      </w:r>
    </w:p>
    <w:p w14:paraId="6BEEDEA2" w14:textId="080B0B2A" w:rsidR="000D1491" w:rsidRPr="00F62B86" w:rsidRDefault="000D1491" w:rsidP="000D1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ранее опубликованных исследованиях отмечалось, что развитие системы оценки публикационной активности оказывает непосредственное влияние на механизмы воспроизводства кадров высшей квалификации [4]. Трансформация рейтинговых систем научных изданий и усиление требований к публикационной результативности формируют новые критерии академической эффективности, однако такие критерии не всегда позволяют оценить прикладную значимость научно-технического результата.</w:t>
      </w:r>
      <w:r w:rsidRPr="00F62B8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="00247E75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="00BC6A20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задача менеджмента качества научно-технической продукции требует комплексного подхода, учитывающего не только публикационные и </w:t>
      </w:r>
      <w:proofErr w:type="spellStart"/>
      <w:r w:rsidR="00BC6A20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библиометрические</w:t>
      </w:r>
      <w:proofErr w:type="spellEnd"/>
      <w:r w:rsidR="00BC6A20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показатели, но и соответствие результата поставленной задаче, возможность применения, </w:t>
      </w:r>
      <w:proofErr w:type="spellStart"/>
      <w:r w:rsidR="00BC6A20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</w:t>
      </w:r>
      <w:proofErr w:type="spellEnd"/>
      <w:r w:rsidR="00BC6A20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ресурсную обеспеченность, оперативность использования и ожидаемый эффект для технологической, производственной или управленческой системы.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стратегического управления научно-технологическим развитием целесообразно различать как минимум два уровня оценки научных результатов. Первый уровень связан с фундаментальными и поисковыми исследованиями, для которых основными критериями качества выступают научная новизна, теоретическая значимость, достоверность, вклад в развитие научного знания и признание профессиональным научным сообществом. Второй уровень относится к прикладным исследованиям, экспериментальным разработкам и научно-технической продукции, где наряду с научной новизной возрастает значение таких характеристик, как возможность практического использования, технологическая готовность, воспроизводимость, ресурсоемкость и ожидаемый эффект применения. Такое разграничение позволяет избежать некорректного переноса прикладных критериев на всю науку в целом и одновременно сохранить управленческую применимость оценки для научно-производственного сектора.</w:t>
      </w:r>
    </w:p>
    <w:p w14:paraId="45DFD0A8" w14:textId="77777777" w:rsidR="000D1491" w:rsidRPr="00F62B86" w:rsidRDefault="000D1491" w:rsidP="000D1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hAnsi="Times New Roman" w:cs="Times New Roman"/>
          <w:sz w:val="24"/>
          <w:szCs w:val="24"/>
        </w:rPr>
        <w:t>Эффективность управления качеством научно-технической продукции во многом зависит от институциональной идентификации субъектов научно-технической деятельности. В широком смысле к таким субъектам относятся не только академические институты и образовательные организации высшего образования, но и научно-производственные объединения, промышленные предприятия, корпоративные исследовательские подразделения, конструкторские бюро и иные организации, выполняющие исследования, разработки, испытания и внедрение технологических решений. Именно на этом уровне проявляется необходимость согласования академических, производственных и управленческих критериев оценки качества результатов.</w:t>
      </w:r>
    </w:p>
    <w:p w14:paraId="365494C6" w14:textId="77777777" w:rsidR="00F121D3" w:rsidRPr="00F62B86" w:rsidRDefault="000D1491" w:rsidP="000D149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 время как академические институты и вузы традиционно находятся в фокусе государственной поддержки, значимая часть прикладных исследований и разработок реализуется на уровне промышленных предприятий и корпоративных научных структур. В современных исследованиях подчеркивается возрастающая роль научно-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производственных предприятий как субъектов обеспечения технологической устойчивости и практической реализации результатов исследований [13]. Недостаточная представленность таких организаций в региональных механизмах признания и стимулирования может снижать видимость прикладных научно-технических результатов и ограничивать возможности их экспертной оценки.</w:t>
      </w:r>
    </w:p>
    <w:p w14:paraId="65DC3E4D" w14:textId="77777777" w:rsidR="00122C8B" w:rsidRPr="00F62B86" w:rsidRDefault="00122C8B" w:rsidP="006E49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Анализ институционального потенциала и механизмов поддержки научно-технического развития</w:t>
      </w:r>
    </w:p>
    <w:p w14:paraId="4D4F1006" w14:textId="3C0156DA" w:rsidR="006E49A6" w:rsidRPr="00F62B86" w:rsidRDefault="006E49A6" w:rsidP="006E49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является одним из крупнейших научно-образовательных и промышленных центров Российской Федерации, что определяет его значимость в системе национального научно-технологического развития. По данным Санкт-Петербургского отделения Российской академии наук, в городе сосредоточен значительный академический потенциал, включая 18</w:t>
      </w:r>
      <w:r w:rsidR="002C6AB8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члена Российской академии наук, из которых 7</w:t>
      </w:r>
      <w:r w:rsidR="002C6AB8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академик</w:t>
      </w:r>
      <w:r w:rsidR="002C6AB8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112 членов-корреспондентов РАН [12]. Научно-образовательная сфера Санкт-Петербурга включает 366 научных организаций, в том числе 10 государственных научных центров, а также 142 гражданские образовательные организации высшего и среднего профессионального образования [7].</w:t>
      </w:r>
    </w:p>
    <w:p w14:paraId="6D26A047" w14:textId="77777777" w:rsidR="006E49A6" w:rsidRPr="00F62B86" w:rsidRDefault="006E49A6" w:rsidP="006E49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hAnsi="Times New Roman" w:cs="Times New Roman"/>
          <w:sz w:val="24"/>
          <w:szCs w:val="24"/>
        </w:rPr>
        <w:t>Наличие развитой научной, образовательной и промышленной базы создает предпосылки для формирования устойчивой системы научно-производственной кооперации. Вместе с тем эффективное использование такого потенциала требует согласования механизмов поддержки академических, образовательных, производственных и корпоративных исследовательских структур. В условиях реализации региональных программ научно-технологического развития особое значение приобретает не только поддержка публикационной активности и академического признания, но и выявление научно-технических результатов, способных получить прикладное применение в экономике и социальной сфере.</w:t>
      </w:r>
    </w:p>
    <w:p w14:paraId="7DDFA56C" w14:textId="77777777" w:rsidR="006E49A6" w:rsidRPr="00F62B86" w:rsidRDefault="006E49A6" w:rsidP="006E49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 из инструментов институционального признания научных коллективов в Санкт-Петербурге является Реестр ведущих научных и научно-педагогических школ. На момент анализа он включает 205 коллективов [10]. Рассмотрение структуры Реестра позволяет выявить особенности представительства различных типов организаций в системе регионального признания научных школ. В частности, представительство организаций научно-производственного и промышленного профиля составляет менее 1 %: в Реестре представлены 2 организации из 205. Этот факт не свидетельствует о недостаточности научного потенциала таких организаций, однако указывает на необходимость дополнительного анализа критериев включения прикладных научно-технических коллективов в действующие механизмы поддержки и признания.</w:t>
      </w:r>
    </w:p>
    <w:p w14:paraId="07DA1427" w14:textId="367A5DB7" w:rsidR="006E49A6" w:rsidRPr="00F62B86" w:rsidRDefault="006E49A6" w:rsidP="0097796D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Выявленная особенность имеет управленческое значение, поскольку значительная часть прикладных исследований, опытно-конструкторских работ, испытаний и внедрения технологических решений осуществляется не только в академических институтах и вузах, но и в научно-производственных объединениях, промышленных предприятиях, конструкторских бюро и корпоративных исследовательских подразделениях. </w:t>
      </w:r>
      <w:r w:rsidR="00AE4567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связи региональные механизмы поддержки научно-технологического развития должны учитывать специфику организаций, для которых результат исследования выражается не только в публикации или академическом признании, но и в создании проекта, модели, макета, опытного образца, программного продукта, методики испытаний, нормативно-технической документации или иного результата, имеющего прикладное значение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43CFA5" w14:textId="572D9D00" w:rsidR="006E49A6" w:rsidRPr="00F62B86" w:rsidRDefault="006E49A6" w:rsidP="006E49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Особую роль в такой системе играют меры экспертного признания </w:t>
      </w:r>
      <w:r w:rsidR="003B5E71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стимулирования, включая премии, гранты, конкурсы и иные формы адресной поддержки. Их значение состоит не только в финансовом поощрении отдельных ученых и коллективов, но и в формировании управленческого сигнала о приоритетности определенных направлений научно-технического развития. При корректной настройке такие инструменты могут способствовать повышению видимости прикладных научно-технических результатов, развитию научно-производственной кооперации и укреплению связи между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региональной научной политикой и потребностями технологич</w:t>
      </w:r>
      <w:r w:rsidR="00AE4567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ески ориентированных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сектор</w:t>
      </w:r>
      <w:r w:rsidR="00AE4567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экономики.</w:t>
      </w:r>
    </w:p>
    <w:p w14:paraId="4881BE9D" w14:textId="77777777" w:rsidR="006E49A6" w:rsidRPr="00F62B86" w:rsidRDefault="006E49A6" w:rsidP="006E49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Следовательно, задача регионального управления состоит не в противопоставлении академической и прикладной науки, а в формировании более сбалансированной системы оценки и поддержки научных результатов. Такая система должна учитывать различие между фундаментальными исследованиями, прикладными разработками и научно-технической продукцией, а также обеспечивать возможность сопоставления результатов с учетом их назначения, степени готовности к применению, ресурсных ограничений и ожидаемого эффекта.</w:t>
      </w:r>
    </w:p>
    <w:p w14:paraId="347A666D" w14:textId="77777777" w:rsidR="00C441AE" w:rsidRPr="00F62B86" w:rsidRDefault="00C441AE" w:rsidP="00C441A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последующего анализа прикладных результатов целесообразно использовать категорию научно-технической продукции, поскольку она позволяет описывать не только публикационные или информационные итоги исследования, но и результаты, имеющие инженерную, технологическую, программную, организационную или производственную форму. В качестве иллюстративной основы для классификации видов продукции может быть использован ГОСТ Р 56518-2015, в котором наряду с техническими средствами, программной продукцией, перерабатываемыми материалами и услугами выделяется научно-техническая продукция: проекты, обоснования, модели, макеты, экспериментальные образцы, нормативные документы, программы и методики испытаний и иные результаты [3].</w:t>
      </w:r>
    </w:p>
    <w:p w14:paraId="56B831D2" w14:textId="77777777" w:rsidR="005F17EF" w:rsidRPr="00F62B86" w:rsidRDefault="00C441AE" w:rsidP="005F17E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данной классификации в настоящей статье не означает механического переноса отраслевого стандарта на все сферы научной деятельности, а применяется как аналитическая рамка для описания прикладных научно-технических результатов, возникающих в научно-производственном секторе. Такой подход позволяет предметно рассматривать, какие виды научно-технической продукции могут получать институциональное признание, каким образом они соотносятся с задачами регионального научно-технологического развития и какие характеристики качества должны учитываться при их экспертной оценке (рисунок 1).</w:t>
      </w:r>
    </w:p>
    <w:p w14:paraId="735C3767" w14:textId="77777777" w:rsidR="005F17EF" w:rsidRPr="00F5452A" w:rsidRDefault="005F17EF" w:rsidP="005F17E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F450BA" w14:textId="77777777" w:rsidR="00C441AE" w:rsidRPr="00F5452A" w:rsidRDefault="00C441AE" w:rsidP="00C441AE">
      <w:pPr>
        <w:spacing w:after="0"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452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DD450EA" wp14:editId="7530D322">
            <wp:simplePos x="0" y="0"/>
            <wp:positionH relativeFrom="column">
              <wp:posOffset>2045</wp:posOffset>
            </wp:positionH>
            <wp:positionV relativeFrom="paragraph">
              <wp:posOffset>408</wp:posOffset>
            </wp:positionV>
            <wp:extent cx="5905849" cy="3283247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70" cy="3290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9A320" w14:textId="39CD66A2" w:rsidR="005F17EF" w:rsidRPr="00F62B86" w:rsidRDefault="005F17EF" w:rsidP="00E07C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</w:t>
      </w:r>
      <w:r w:rsidR="000F0B22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1</w:t>
      </w:r>
      <w:r w:rsidR="000F0B22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Классификация видов (категорий) продукции</w:t>
      </w:r>
    </w:p>
    <w:p w14:paraId="1683B4E8" w14:textId="64D4AC83" w:rsidR="00F121D3" w:rsidRPr="00FB4C0A" w:rsidRDefault="000F0B22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Cs w:val="28"/>
          <w:lang w:eastAsia="ru-RU"/>
        </w:rPr>
      </w:pPr>
      <w:r w:rsidRPr="00FB4C0A">
        <w:rPr>
          <w:rFonts w:ascii="Times New Roman" w:eastAsia="Times New Roman" w:hAnsi="Times New Roman" w:cs="Times New Roman"/>
          <w:szCs w:val="28"/>
          <w:lang w:eastAsia="ru-RU"/>
        </w:rPr>
        <w:t>Источник: составлено авторами на основе ГОСТ Р 56518-2015 [3].</w:t>
      </w:r>
    </w:p>
    <w:p w14:paraId="4DEB14CD" w14:textId="77777777" w:rsidR="000F0B22" w:rsidRPr="000F0B22" w:rsidRDefault="000F0B22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3F67B15D" w14:textId="77777777" w:rsidR="00DB47AE" w:rsidRDefault="00DB47AE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5BFEE30" w14:textId="1E5BB627" w:rsidR="00F121D3" w:rsidRPr="00F62B86" w:rsidRDefault="00F121D3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  <w:r w:rsidRPr="00F62B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Методология оценки эффективности целенаправленных процессов</w:t>
      </w:r>
    </w:p>
    <w:p w14:paraId="3F219356" w14:textId="77777777" w:rsidR="00F121D3" w:rsidRPr="00F62B86" w:rsidRDefault="00F121D3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4FC8BB" w14:textId="308FD7D3" w:rsidR="00F173C3" w:rsidRPr="00F62B86" w:rsidRDefault="00F121D3" w:rsidP="00F730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объективизации менеджмента качества научно-технической продукции (далее – НТП) предлагается использовать аппарат теории эффективности целенаправленных процессов (далее – ЦНП). Развитие данного подхода связано с ранее опубликованными исследованиями в области параметрического синтеза системы научной деятельности, в рамках которых качество и эффективность научной работы рассматриваются как взаимосвязанные характеристики, зависящие от совокупности организационных, кадровых и результативных параметров [5]. </w:t>
      </w:r>
      <w:r w:rsidR="00F173C3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Применительно к научно-технической продукции данный подход используется не для переноса критериев оценки научной активности на прикладные результаты, а для их экспертного сопоставления по результативности, оперативности и ресурсоемкости применения. Такой подход позволяет перейти от линейной оценки научной активности к многокритериальному анализу научно-технической продукции и условий ее практического применения.</w:t>
      </w:r>
    </w:p>
    <w:p w14:paraId="4AD72845" w14:textId="209DF86A" w:rsidR="00552C32" w:rsidRPr="00F62B86" w:rsidRDefault="00F61FF2" w:rsidP="00F730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552C32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ачество НТП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предлагается оценивать через потенциальн</w:t>
      </w:r>
      <w:r w:rsidR="00552C32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ую эффективность его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практического </w:t>
      </w:r>
      <w:r w:rsidR="00552C32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применения.</w:t>
      </w:r>
    </w:p>
    <w:p w14:paraId="3B30BADB" w14:textId="77777777" w:rsidR="00552C32" w:rsidRPr="00F62B86" w:rsidRDefault="003B5E71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раскрытия подхода выделим </w:t>
      </w:r>
      <w:r w:rsidR="00552C32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составные части этого процесса – результативность, оперативность и ресурсоемкость.</w:t>
      </w:r>
    </w:p>
    <w:p w14:paraId="577D2A97" w14:textId="77777777" w:rsidR="00552C32" w:rsidRPr="00F62B86" w:rsidRDefault="00552C32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самом общем случае для указанных трех показателей целенаправленного процесса применения НТП можно в терминах экспертной оценки задать обобщенные градации, которые заменяют вероятностные, явно заданные временные и явно заданные ресурсные ограничения, </w:t>
      </w:r>
      <w:proofErr w:type="gram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7D7C42F" w14:textId="29268954" w:rsidR="00552C32" w:rsidRPr="00F62B86" w:rsidRDefault="00552C32" w:rsidP="00FB4C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результативность: поразительная, ожидаемая, ниже ожидаемой, незначительная</w:t>
      </w:r>
      <w:r w:rsidR="00447AD9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низкая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8E3D68" w14:textId="77777777" w:rsidR="00552C32" w:rsidRPr="00F62B86" w:rsidRDefault="00552C32" w:rsidP="00FB4C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оперативность, понимаемая как ожидаемая реализуемость применения НТП в разумные или допустимые сроки: очевидно достижима, вероятно достижима, скорее достижима, скорее недостижима, очевидно недостижима;</w:t>
      </w:r>
    </w:p>
    <w:p w14:paraId="0AD67BDA" w14:textId="77777777" w:rsidR="00552C32" w:rsidRPr="00F62B86" w:rsidRDefault="00552C32" w:rsidP="00FB4C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ресурсоемкость: чрезвычайно высокая, высокая, вполне реальная, невысокая, низкая.</w:t>
      </w:r>
    </w:p>
    <w:p w14:paraId="615A0F18" w14:textId="77777777" w:rsidR="00552C32" w:rsidRPr="00F62B86" w:rsidRDefault="003B5E71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 учитывать, что эти показатели могут быть взаимозависимыми: например, объем выделяемых ресурсов может влиять на достижимость требуемой оперативности и наоборот.</w:t>
      </w:r>
    </w:p>
    <w:p w14:paraId="5701EEB3" w14:textId="1347FC99" w:rsidR="00552C32" w:rsidRPr="00F62B86" w:rsidRDefault="0067792D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рассматриваемого подхода эффективность определяется через вероятность достижения поставленной цели конкретным целенаправленным процессом: чем выше вероятность достижения цели одним ЦНП по сравнению с другим при сопоставимых временных и ресурсных ограничениях, тем выше его потенциальная эффективность. Построение зависимостей вероятности достижения цели от потребных временных и ресурсных затрат составляет основу научно-инженерных исследований при оценивании эффективности применения НТП по конкретному назначению.</w:t>
      </w:r>
    </w:p>
    <w:p w14:paraId="002F20D9" w14:textId="77777777" w:rsidR="00552C32" w:rsidRPr="00F62B86" w:rsidRDefault="00552C32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Теория эффективности ЦНП позволяет агрегировать различные характеристики процесса в едином показателе вероятности достижения цели и оценивать возможность обеспечения этого показателя на уровне не ниже заданного.</w:t>
      </w:r>
    </w:p>
    <w:p w14:paraId="2B0BD3D0" w14:textId="77777777" w:rsidR="00552C32" w:rsidRPr="00F62B86" w:rsidRDefault="00C24649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в реальности исследователь сталкивается с рядом трудностей, первой из которых является фактическая невозможность получения или использования законов распределения, особенно совместных. Зачастую статистические данные по существующим аналогичным организационно-техническим решениям ограничены или недостаточно сопоставимы, а по предлагаемым новым решениям отсутствуют вовсе. Кроме того, построить взаимовлияние параметров, </w:t>
      </w:r>
      <w:proofErr w:type="gram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их корреляцию, в большинстве случаев по указанным причинам также не представляется возможным.</w:t>
      </w:r>
    </w:p>
    <w:p w14:paraId="7FC9A821" w14:textId="77777777" w:rsidR="00552C32" w:rsidRPr="00F62B86" w:rsidRDefault="00552C32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в настоящей работе предлагается отойти от численных законов распределения случайных величин и перейти к получаемому экспертным путем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ограниченному множеству частных оценок показателей с их последующей сверткой в итоговый показатель качества НТП.</w:t>
      </w:r>
    </w:p>
    <w:p w14:paraId="7643F2D8" w14:textId="77777777" w:rsidR="00552C32" w:rsidRPr="00F62B86" w:rsidRDefault="00552C32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 отметить, что такой подход должен быть относительно нетрудоемким, практически применимым и давать точечную оценку качества конкретной НТП. Под интегральной оценкой можно понимать сравнительную оценку – ранжирование, ранговую статистику или иные методы сопоставления НТП одного предназначения между собой, по аналогии с процедурой попарного сравнения.</w:t>
      </w:r>
    </w:p>
    <w:p w14:paraId="27C84839" w14:textId="77777777" w:rsidR="00C2626D" w:rsidRPr="00F62B86" w:rsidRDefault="00C2626D" w:rsidP="00552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иллюстрации применения данного подхода рассмотрим оценку исследований по созданию и применению квантовых стандартов частоты (далее – КСЧ) по нескольким направлениям: цезиевые, водородные, оптические, рубидиевые и ионные стандарты.</w:t>
      </w:r>
    </w:p>
    <w:p w14:paraId="49878102" w14:textId="77777777" w:rsidR="00552C32" w:rsidRPr="00F62B86" w:rsidRDefault="00552C32" w:rsidP="000540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Составим условную матрицу оценок оперативности, результативности и ресурсоемкости для этих типов КСЧ. Для данного случая потенциальные значения достигаемой результативности в физических величинах долговременной стабильности частоты можно перевести в нечеткие относительные значения этого показателя:</w:t>
      </w:r>
    </w:p>
    <w:p w14:paraId="6E6CFC72" w14:textId="77777777" w:rsidR="00773579" w:rsidRPr="00F62B86" w:rsidRDefault="00773579" w:rsidP="00773579">
      <w:pPr>
        <w:pStyle w:val="aa"/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F62B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-12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– низкая;</w:t>
      </w:r>
    </w:p>
    <w:p w14:paraId="661D8FA2" w14:textId="77777777" w:rsidR="00552C32" w:rsidRPr="00F62B86" w:rsidRDefault="00552C32" w:rsidP="0005400F">
      <w:pPr>
        <w:pStyle w:val="aa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F62B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-13 </w:t>
      </w:r>
      <w:r w:rsidR="00773579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незначительная результативность;</w:t>
      </w:r>
    </w:p>
    <w:p w14:paraId="171C1B30" w14:textId="77777777" w:rsidR="00552C32" w:rsidRPr="00F62B86" w:rsidRDefault="00552C32" w:rsidP="0005400F">
      <w:pPr>
        <w:pStyle w:val="aa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hAnsi="Times New Roman" w:cs="Times New Roman"/>
          <w:sz w:val="24"/>
          <w:szCs w:val="24"/>
        </w:rPr>
        <w:t>10</w:t>
      </w:r>
      <w:r w:rsidRPr="00F62B86">
        <w:rPr>
          <w:rFonts w:ascii="Times New Roman" w:hAnsi="Times New Roman" w:cs="Times New Roman"/>
          <w:sz w:val="24"/>
          <w:szCs w:val="24"/>
          <w:vertAlign w:val="superscript"/>
        </w:rPr>
        <w:t>-14</w:t>
      </w:r>
      <w:r w:rsidRPr="00F62B86">
        <w:rPr>
          <w:rFonts w:ascii="Times New Roman" w:hAnsi="Times New Roman" w:cs="Times New Roman"/>
          <w:sz w:val="24"/>
          <w:szCs w:val="24"/>
        </w:rPr>
        <w:t xml:space="preserve"> –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ожидаемой результативность</w:t>
      </w:r>
      <w:r w:rsidRPr="00F62B86">
        <w:rPr>
          <w:rFonts w:ascii="Times New Roman" w:hAnsi="Times New Roman" w:cs="Times New Roman"/>
          <w:sz w:val="24"/>
          <w:szCs w:val="24"/>
        </w:rPr>
        <w:t>;</w:t>
      </w:r>
    </w:p>
    <w:p w14:paraId="2C4BB20B" w14:textId="77777777" w:rsidR="00552C32" w:rsidRPr="00F62B86" w:rsidRDefault="00552C32" w:rsidP="0005400F">
      <w:pPr>
        <w:pStyle w:val="aa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hAnsi="Times New Roman" w:cs="Times New Roman"/>
          <w:sz w:val="24"/>
          <w:szCs w:val="24"/>
        </w:rPr>
        <w:t>10</w:t>
      </w:r>
      <w:r w:rsidRPr="00F62B86">
        <w:rPr>
          <w:rFonts w:ascii="Times New Roman" w:hAnsi="Times New Roman" w:cs="Times New Roman"/>
          <w:sz w:val="24"/>
          <w:szCs w:val="24"/>
          <w:vertAlign w:val="superscript"/>
        </w:rPr>
        <w:t>-15</w:t>
      </w:r>
      <w:r w:rsidRPr="00F62B86">
        <w:rPr>
          <w:rFonts w:ascii="Times New Roman" w:hAnsi="Times New Roman" w:cs="Times New Roman"/>
          <w:sz w:val="24"/>
          <w:szCs w:val="24"/>
        </w:rPr>
        <w:t xml:space="preserve"> –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ожидаемая результативность;</w:t>
      </w:r>
    </w:p>
    <w:p w14:paraId="6EFA0CE9" w14:textId="77777777" w:rsidR="00552C32" w:rsidRPr="00F62B86" w:rsidRDefault="00552C32" w:rsidP="0005400F">
      <w:pPr>
        <w:pStyle w:val="aa"/>
        <w:numPr>
          <w:ilvl w:val="0"/>
          <w:numId w:val="7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F62B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-16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поразительная.</w:t>
      </w:r>
    </w:p>
    <w:p w14:paraId="09CE3A56" w14:textId="3D200714" w:rsidR="003A671F" w:rsidRPr="00F62B86" w:rsidRDefault="003A671F" w:rsidP="00054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 xml:space="preserve">Ресурсоемкость в рассматриваемом случае представляет собой объем ресурсов (материальных, энергетических, трудовых, финансовых и др.), необходимых для производства единичного экземпляра стандарта частоты и имеет прямую зависимость от ожидаемой результативности, способа реализации стандарта, методик производства и испытаний. В рассматриваемом случае ресурсоемкость представим в виде условных числовых оценок: </w:t>
      </w:r>
    </w:p>
    <w:p w14:paraId="47A0BA1A" w14:textId="77777777" w:rsidR="003A671F" w:rsidRPr="00F62B86" w:rsidRDefault="003A671F" w:rsidP="0005400F">
      <w:pPr>
        <w:pStyle w:val="aa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чрезвычайно высокая – 1;</w:t>
      </w:r>
    </w:p>
    <w:p w14:paraId="7C104E82" w14:textId="77777777" w:rsidR="003A671F" w:rsidRPr="00F62B86" w:rsidRDefault="003A671F" w:rsidP="0005400F">
      <w:pPr>
        <w:pStyle w:val="aa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высокая – 2;</w:t>
      </w:r>
    </w:p>
    <w:p w14:paraId="18A0D3FB" w14:textId="77777777" w:rsidR="003A671F" w:rsidRPr="00F62B86" w:rsidRDefault="003A671F" w:rsidP="0005400F">
      <w:pPr>
        <w:pStyle w:val="aa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вполне реальная – 3;</w:t>
      </w:r>
    </w:p>
    <w:p w14:paraId="6CF0F64F" w14:textId="77777777" w:rsidR="003A671F" w:rsidRPr="00F62B86" w:rsidRDefault="003A671F" w:rsidP="0005400F">
      <w:pPr>
        <w:pStyle w:val="aa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невысокая – 4;</w:t>
      </w:r>
    </w:p>
    <w:p w14:paraId="73262264" w14:textId="77777777" w:rsidR="003A671F" w:rsidRPr="00F62B86" w:rsidRDefault="003A671F" w:rsidP="0005400F">
      <w:pPr>
        <w:pStyle w:val="aa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низкая – 5.</w:t>
      </w:r>
    </w:p>
    <w:p w14:paraId="19025389" w14:textId="77777777" w:rsidR="003A671F" w:rsidRPr="00F62B86" w:rsidRDefault="003A671F" w:rsidP="000540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Оперативность также зависит от ожидаемой результативности, методик производства и испытаний. Кроме того, следует учитывать непрогнозируемые факторы, влияющие на показатели целенаправленного процесса применения, </w:t>
      </w:r>
      <w:proofErr w:type="gramStart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политическую и экономическую обстановку. В рассматриваемом случае оперативность представим в виде условных числовых оценок:</w:t>
      </w:r>
    </w:p>
    <w:p w14:paraId="094B7654" w14:textId="77777777" w:rsidR="003A671F" w:rsidRPr="00F62B86" w:rsidRDefault="003A671F" w:rsidP="0005400F">
      <w:pPr>
        <w:pStyle w:val="aa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очевидно достижима – 5;</w:t>
      </w:r>
    </w:p>
    <w:p w14:paraId="2F0739E7" w14:textId="77777777" w:rsidR="003A671F" w:rsidRPr="00F62B86" w:rsidRDefault="003A671F" w:rsidP="0005400F">
      <w:pPr>
        <w:pStyle w:val="aa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62B86">
        <w:rPr>
          <w:rFonts w:ascii="Times New Roman" w:hAnsi="Times New Roman" w:cs="Times New Roman"/>
          <w:sz w:val="24"/>
          <w:szCs w:val="24"/>
        </w:rPr>
        <w:t>вероятно</w:t>
      </w:r>
      <w:proofErr w:type="gramEnd"/>
      <w:r w:rsidRPr="00F62B86">
        <w:rPr>
          <w:rFonts w:ascii="Times New Roman" w:hAnsi="Times New Roman" w:cs="Times New Roman"/>
          <w:sz w:val="24"/>
          <w:szCs w:val="24"/>
        </w:rPr>
        <w:t xml:space="preserve"> достижима – 4;</w:t>
      </w:r>
    </w:p>
    <w:p w14:paraId="43450E09" w14:textId="77777777" w:rsidR="003A671F" w:rsidRPr="00F62B86" w:rsidRDefault="003A671F" w:rsidP="0005400F">
      <w:pPr>
        <w:pStyle w:val="aa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скорее достижима – 3;</w:t>
      </w:r>
    </w:p>
    <w:p w14:paraId="4B38552C" w14:textId="77777777" w:rsidR="003A671F" w:rsidRPr="00F62B86" w:rsidRDefault="003A671F" w:rsidP="0005400F">
      <w:pPr>
        <w:pStyle w:val="aa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скорее недостижима – 2;</w:t>
      </w:r>
    </w:p>
    <w:p w14:paraId="4B285406" w14:textId="77777777" w:rsidR="003A671F" w:rsidRPr="00F62B86" w:rsidRDefault="003A671F" w:rsidP="0005400F">
      <w:pPr>
        <w:pStyle w:val="aa"/>
        <w:numPr>
          <w:ilvl w:val="0"/>
          <w:numId w:val="6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очевидно недостижима – 1.</w:t>
      </w:r>
    </w:p>
    <w:p w14:paraId="652C3841" w14:textId="77777777" w:rsidR="003A671F" w:rsidRPr="00F62B86" w:rsidRDefault="003A671F" w:rsidP="000540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получим куб (рисунок 2), который позволяет проводить анализ зависимостей между показателями эффективности и предполагает возможность представления данных в виде многомерной модели.</w:t>
      </w:r>
    </w:p>
    <w:p w14:paraId="6C76F9CA" w14:textId="77777777" w:rsidR="003A671F" w:rsidRPr="00F62B86" w:rsidRDefault="003A671F" w:rsidP="0005400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D20AD0B" wp14:editId="199B7C34">
            <wp:extent cx="3314181" cy="305450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уб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85" cy="30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B4F8" w14:textId="0643323F" w:rsidR="003A671F" w:rsidRPr="00F62B86" w:rsidRDefault="003A671F" w:rsidP="0005400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Рис</w:t>
      </w:r>
      <w:r w:rsidR="000F0B22" w:rsidRPr="00F62B86">
        <w:rPr>
          <w:rFonts w:ascii="Times New Roman" w:hAnsi="Times New Roman" w:cs="Times New Roman"/>
          <w:sz w:val="24"/>
          <w:szCs w:val="24"/>
        </w:rPr>
        <w:t>.</w:t>
      </w:r>
      <w:r w:rsidRPr="00F62B86">
        <w:rPr>
          <w:rFonts w:ascii="Times New Roman" w:hAnsi="Times New Roman" w:cs="Times New Roman"/>
          <w:sz w:val="24"/>
          <w:szCs w:val="24"/>
        </w:rPr>
        <w:t xml:space="preserve"> 2</w:t>
      </w:r>
      <w:r w:rsidR="000F0B22" w:rsidRPr="00F62B86">
        <w:rPr>
          <w:rFonts w:ascii="Times New Roman" w:hAnsi="Times New Roman" w:cs="Times New Roman"/>
          <w:sz w:val="24"/>
          <w:szCs w:val="24"/>
        </w:rPr>
        <w:t>.</w:t>
      </w:r>
      <w:r w:rsidRPr="00F62B86">
        <w:rPr>
          <w:rFonts w:ascii="Times New Roman" w:hAnsi="Times New Roman" w:cs="Times New Roman"/>
          <w:sz w:val="24"/>
          <w:szCs w:val="24"/>
        </w:rPr>
        <w:t xml:space="preserve"> Многомерный куб данных потенциальной эффективности исследования создания и применения квантовых стандартов частоты</w:t>
      </w:r>
    </w:p>
    <w:p w14:paraId="7BCEF7DD" w14:textId="77777777" w:rsidR="000F0B22" w:rsidRPr="00F62B86" w:rsidRDefault="000F0B22" w:rsidP="000F0B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hAnsi="Times New Roman" w:cs="Times New Roman"/>
          <w:sz w:val="24"/>
          <w:szCs w:val="24"/>
        </w:rPr>
        <w:t>Источник: составлено авторами.</w:t>
      </w:r>
    </w:p>
    <w:p w14:paraId="1792F508" w14:textId="77777777" w:rsidR="000F0B22" w:rsidRPr="00F62B86" w:rsidRDefault="000F0B22" w:rsidP="00054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8047DD" w14:textId="17E71811" w:rsidR="003A671F" w:rsidRPr="00F62B86" w:rsidRDefault="00C11FD8" w:rsidP="00054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Наличие одного из показателей стандартов частоты (например, результативность) позволяет спрогнозировать другие и выполнить сравнительный анализ. При оценке эффективности применения НТП важна не только сама научно-техническая продукция, но и достигаемый прикладной эффект, который может проявляться, например, в системах космической навигации, сверхскоростных системах связи, синхронизации разнесенных систем многопозиционной радиолокации и других технологических областях. В качестве второго примера рассмотрим выбор наиболее эффективного типа конструкции БПЛА:</w:t>
      </w:r>
    </w:p>
    <w:p w14:paraId="7351C4D8" w14:textId="77777777" w:rsidR="003A671F" w:rsidRPr="00F62B86" w:rsidRDefault="003A671F" w:rsidP="0005400F">
      <w:pPr>
        <w:pStyle w:val="aa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Вертолетного типа – имеют несколько винтов;</w:t>
      </w:r>
    </w:p>
    <w:p w14:paraId="22F99153" w14:textId="77777777" w:rsidR="003A671F" w:rsidRPr="00F62B86" w:rsidRDefault="003A671F" w:rsidP="0005400F">
      <w:pPr>
        <w:pStyle w:val="aa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Самолетного типа – используют крыло для создания подъемной силы;</w:t>
      </w:r>
    </w:p>
    <w:p w14:paraId="5B48E48F" w14:textId="77777777" w:rsidR="003A671F" w:rsidRPr="00F62B86" w:rsidRDefault="003A671F" w:rsidP="0005400F">
      <w:pPr>
        <w:pStyle w:val="aa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 xml:space="preserve">Гибридные </w:t>
      </w:r>
      <w:r w:rsidR="0005400F" w:rsidRPr="00F62B86">
        <w:rPr>
          <w:rFonts w:ascii="Times New Roman" w:hAnsi="Times New Roman" w:cs="Times New Roman"/>
          <w:sz w:val="24"/>
          <w:szCs w:val="24"/>
        </w:rPr>
        <w:t xml:space="preserve">– </w:t>
      </w:r>
      <w:r w:rsidRPr="00F62B86">
        <w:rPr>
          <w:rFonts w:ascii="Times New Roman" w:hAnsi="Times New Roman" w:cs="Times New Roman"/>
          <w:sz w:val="24"/>
          <w:szCs w:val="24"/>
        </w:rPr>
        <w:t>сочетают вертикальный взлет (как коптер) и горизонтальный полет (как самолет);</w:t>
      </w:r>
    </w:p>
    <w:p w14:paraId="16751FC3" w14:textId="18E12D62" w:rsidR="003A671F" w:rsidRPr="00F62B86" w:rsidRDefault="003A671F" w:rsidP="0005400F">
      <w:pPr>
        <w:pStyle w:val="aa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FPV (First Person View) – управляются через видеоочки, что позволяет оператору управлять аппаратом в режиме визуального присутствия</w:t>
      </w:r>
      <w:r w:rsidRPr="00F62B86">
        <w:rPr>
          <w:sz w:val="24"/>
          <w:szCs w:val="24"/>
        </w:rPr>
        <w:t>;</w:t>
      </w:r>
    </w:p>
    <w:p w14:paraId="26503F34" w14:textId="77777777" w:rsidR="003A671F" w:rsidRPr="00F62B86" w:rsidRDefault="003A671F" w:rsidP="0005400F">
      <w:pPr>
        <w:pStyle w:val="aa"/>
        <w:numPr>
          <w:ilvl w:val="0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Аэростатические – беспилотные аэростаты и дирижабли.</w:t>
      </w:r>
    </w:p>
    <w:p w14:paraId="6F956CAE" w14:textId="77777777" w:rsidR="003A671F" w:rsidRPr="00F62B86" w:rsidRDefault="003A671F" w:rsidP="00054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В качестве численной характеристики результативности в данном примере рассматривается максимальное время полёта, так как этот показатель напрямую зависит от конструкции БПЛА:</w:t>
      </w:r>
    </w:p>
    <w:p w14:paraId="5277314B" w14:textId="77777777" w:rsidR="003A671F" w:rsidRPr="00F62B86" w:rsidRDefault="003A671F" w:rsidP="0005400F">
      <w:pPr>
        <w:pStyle w:val="aa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30 мин. </w:t>
      </w:r>
      <w:r w:rsidRPr="00F62B8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– это низкая результативность;</w:t>
      </w:r>
    </w:p>
    <w:p w14:paraId="41AADB3E" w14:textId="77777777" w:rsidR="003A671F" w:rsidRPr="00F62B86" w:rsidRDefault="003A671F" w:rsidP="0005400F">
      <w:pPr>
        <w:pStyle w:val="aa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60 мин. – это незначительная результативность;</w:t>
      </w:r>
    </w:p>
    <w:p w14:paraId="52A9C0EC" w14:textId="77777777" w:rsidR="003A671F" w:rsidRPr="00F62B86" w:rsidRDefault="003A671F" w:rsidP="0005400F">
      <w:pPr>
        <w:pStyle w:val="aa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90 мин. – ниже ожидаемой результативность;</w:t>
      </w:r>
    </w:p>
    <w:p w14:paraId="555B110C" w14:textId="77777777" w:rsidR="003A671F" w:rsidRPr="00F62B86" w:rsidRDefault="003A671F" w:rsidP="0005400F">
      <w:pPr>
        <w:pStyle w:val="aa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120 мин. – ожидаемая;</w:t>
      </w:r>
    </w:p>
    <w:p w14:paraId="21A9E81B" w14:textId="77777777" w:rsidR="003A671F" w:rsidRPr="00F62B86" w:rsidRDefault="003A671F" w:rsidP="0005400F">
      <w:pPr>
        <w:pStyle w:val="aa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240 мин. – поразительная.</w:t>
      </w:r>
    </w:p>
    <w:p w14:paraId="0E3A191F" w14:textId="77777777" w:rsidR="003A671F" w:rsidRPr="00F62B86" w:rsidRDefault="003A671F" w:rsidP="00054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Одним из основных факторов, определяющих ресурсоемкость производства БПЛА, является стоимость материала конструкции:</w:t>
      </w:r>
    </w:p>
    <w:p w14:paraId="65E26E69" w14:textId="77777777" w:rsidR="003A671F" w:rsidRPr="00F62B86" w:rsidRDefault="003A671F" w:rsidP="0005400F">
      <w:pPr>
        <w:pStyle w:val="aa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чрезвычайно высокая – 1 (металлы);</w:t>
      </w:r>
    </w:p>
    <w:p w14:paraId="3AB29C2B" w14:textId="77777777" w:rsidR="003A671F" w:rsidRPr="00F62B86" w:rsidRDefault="003A671F" w:rsidP="0005400F">
      <w:pPr>
        <w:pStyle w:val="aa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высокая – 2 (углеволокно);</w:t>
      </w:r>
    </w:p>
    <w:p w14:paraId="711DF848" w14:textId="77777777" w:rsidR="003A671F" w:rsidRPr="00F62B86" w:rsidRDefault="003A671F" w:rsidP="0005400F">
      <w:pPr>
        <w:pStyle w:val="aa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вполне реальная – 3 (стекловолокно);</w:t>
      </w:r>
    </w:p>
    <w:p w14:paraId="25CADA1E" w14:textId="77777777" w:rsidR="003A671F" w:rsidRPr="00F62B86" w:rsidRDefault="003A671F" w:rsidP="0005400F">
      <w:pPr>
        <w:pStyle w:val="aa"/>
        <w:numPr>
          <w:ilvl w:val="0"/>
          <w:numId w:val="1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невысокая – 4 (пластик);</w:t>
      </w:r>
    </w:p>
    <w:p w14:paraId="721E8364" w14:textId="283EFBA0" w:rsidR="003A671F" w:rsidRPr="00F62B86" w:rsidRDefault="003A671F" w:rsidP="0005400F">
      <w:pPr>
        <w:pStyle w:val="aa"/>
        <w:numPr>
          <w:ilvl w:val="0"/>
          <w:numId w:val="1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низкая – 5 (пенопласт).</w:t>
      </w:r>
    </w:p>
    <w:p w14:paraId="17A39302" w14:textId="77777777" w:rsidR="003A671F" w:rsidRPr="00F62B86" w:rsidRDefault="003A671F" w:rsidP="00054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lastRenderedPageBreak/>
        <w:t>Оперативность, как и в предыдущем примере, представим в виде условных числовых оценок:</w:t>
      </w:r>
    </w:p>
    <w:p w14:paraId="794B7AFB" w14:textId="77777777" w:rsidR="003A671F" w:rsidRPr="00F62B86" w:rsidRDefault="003A671F" w:rsidP="0005400F">
      <w:pPr>
        <w:pStyle w:val="aa"/>
        <w:numPr>
          <w:ilvl w:val="0"/>
          <w:numId w:val="1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очевидно достижима – 5;</w:t>
      </w:r>
    </w:p>
    <w:p w14:paraId="5FB9E56B" w14:textId="77777777" w:rsidR="003A671F" w:rsidRPr="00F62B86" w:rsidRDefault="003A671F" w:rsidP="0005400F">
      <w:pPr>
        <w:pStyle w:val="aa"/>
        <w:numPr>
          <w:ilvl w:val="0"/>
          <w:numId w:val="1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62B86">
        <w:rPr>
          <w:rFonts w:ascii="Times New Roman" w:hAnsi="Times New Roman" w:cs="Times New Roman"/>
          <w:sz w:val="24"/>
          <w:szCs w:val="24"/>
        </w:rPr>
        <w:t>вероятно</w:t>
      </w:r>
      <w:proofErr w:type="gramEnd"/>
      <w:r w:rsidRPr="00F62B86">
        <w:rPr>
          <w:rFonts w:ascii="Times New Roman" w:hAnsi="Times New Roman" w:cs="Times New Roman"/>
          <w:sz w:val="24"/>
          <w:szCs w:val="24"/>
        </w:rPr>
        <w:t xml:space="preserve"> достижима – 4;</w:t>
      </w:r>
    </w:p>
    <w:p w14:paraId="79A32BFC" w14:textId="77777777" w:rsidR="003A671F" w:rsidRPr="00F62B86" w:rsidRDefault="003A671F" w:rsidP="0005400F">
      <w:pPr>
        <w:pStyle w:val="aa"/>
        <w:numPr>
          <w:ilvl w:val="0"/>
          <w:numId w:val="1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скорее достижима – 3;</w:t>
      </w:r>
    </w:p>
    <w:p w14:paraId="03DB54E4" w14:textId="77777777" w:rsidR="003A671F" w:rsidRPr="00F62B86" w:rsidRDefault="003A671F" w:rsidP="0005400F">
      <w:pPr>
        <w:pStyle w:val="aa"/>
        <w:numPr>
          <w:ilvl w:val="0"/>
          <w:numId w:val="1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скорее недостижима – 2;</w:t>
      </w:r>
    </w:p>
    <w:p w14:paraId="10546980" w14:textId="77777777" w:rsidR="003A671F" w:rsidRPr="00F62B86" w:rsidRDefault="003A671F" w:rsidP="0005400F">
      <w:pPr>
        <w:pStyle w:val="aa"/>
        <w:numPr>
          <w:ilvl w:val="0"/>
          <w:numId w:val="1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очевидно недостижима – 1.</w:t>
      </w:r>
    </w:p>
    <w:p w14:paraId="11600F98" w14:textId="77777777" w:rsidR="003A671F" w:rsidRPr="00F62B86" w:rsidRDefault="003A671F" w:rsidP="00054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На основе сформулированных показателей может быть построен многомерный куб данных (рисунок 3).</w:t>
      </w:r>
    </w:p>
    <w:p w14:paraId="2D43079F" w14:textId="77777777" w:rsidR="003A671F" w:rsidRPr="00F5452A" w:rsidRDefault="003A671F" w:rsidP="003A671F">
      <w:pPr>
        <w:spacing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545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F89E72" wp14:editId="68E36729">
            <wp:extent cx="2987501" cy="27432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уб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299" cy="27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2A96" w14:textId="25AEDC1E" w:rsidR="003A671F" w:rsidRPr="00F62B86" w:rsidRDefault="003A671F" w:rsidP="003A671F">
      <w:pPr>
        <w:spacing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Рис</w:t>
      </w:r>
      <w:r w:rsidR="000F0B22" w:rsidRPr="00F62B86">
        <w:rPr>
          <w:rFonts w:ascii="Times New Roman" w:hAnsi="Times New Roman" w:cs="Times New Roman"/>
          <w:sz w:val="24"/>
          <w:szCs w:val="24"/>
        </w:rPr>
        <w:t>.</w:t>
      </w:r>
      <w:r w:rsidRPr="00F62B86">
        <w:rPr>
          <w:rFonts w:ascii="Times New Roman" w:hAnsi="Times New Roman" w:cs="Times New Roman"/>
          <w:sz w:val="24"/>
          <w:szCs w:val="24"/>
        </w:rPr>
        <w:t xml:space="preserve"> 3</w:t>
      </w:r>
      <w:r w:rsidR="000F0B22" w:rsidRPr="00F62B86">
        <w:rPr>
          <w:rFonts w:ascii="Times New Roman" w:hAnsi="Times New Roman" w:cs="Times New Roman"/>
          <w:sz w:val="24"/>
          <w:szCs w:val="24"/>
        </w:rPr>
        <w:t>.</w:t>
      </w:r>
      <w:r w:rsidRPr="00F62B86">
        <w:rPr>
          <w:rFonts w:ascii="Times New Roman" w:hAnsi="Times New Roman" w:cs="Times New Roman"/>
          <w:sz w:val="24"/>
          <w:szCs w:val="24"/>
        </w:rPr>
        <w:t xml:space="preserve"> Многомерный куб данных потенциальной эффективности исследования создания и применения беспилотных летательных аппаратов</w:t>
      </w:r>
    </w:p>
    <w:p w14:paraId="535FE4D0" w14:textId="77777777" w:rsidR="000F0B22" w:rsidRPr="00F62B86" w:rsidRDefault="000F0B22" w:rsidP="000F0B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hAnsi="Times New Roman" w:cs="Times New Roman"/>
          <w:sz w:val="24"/>
          <w:szCs w:val="24"/>
        </w:rPr>
        <w:t>Источник: составлено авторами.</w:t>
      </w:r>
    </w:p>
    <w:p w14:paraId="403F31A2" w14:textId="77777777" w:rsidR="000F0B22" w:rsidRPr="00F62B86" w:rsidRDefault="000F0B22" w:rsidP="003A671F">
      <w:pPr>
        <w:spacing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25D6B5CE" w14:textId="10BC70C5" w:rsidR="003A671F" w:rsidRPr="00F62B86" w:rsidRDefault="003A671F" w:rsidP="003A671F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62B86">
        <w:rPr>
          <w:rFonts w:ascii="Times New Roman" w:hAnsi="Times New Roman" w:cs="Times New Roman"/>
          <w:sz w:val="24"/>
          <w:szCs w:val="24"/>
        </w:rPr>
        <w:t>Достигаемый прикладной эффект может проявляться в мониторинге и обследовании поверхности Земли, в сферах безопасности и чрезвычайных ситуаций, логистике и т. п.</w:t>
      </w:r>
    </w:p>
    <w:p w14:paraId="3909564F" w14:textId="77777777" w:rsidR="00D5286F" w:rsidRPr="00F62B86" w:rsidRDefault="00D5286F" w:rsidP="000E0E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40F090" w14:textId="77777777" w:rsidR="00F121D3" w:rsidRPr="00F62B86" w:rsidRDefault="00F121D3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Цифровой портрет премии как инструмент адресного стимулирования</w:t>
      </w:r>
    </w:p>
    <w:p w14:paraId="7459924F" w14:textId="77777777" w:rsidR="00F224E9" w:rsidRPr="00F62B86" w:rsidRDefault="003539D4" w:rsidP="00F224E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«цифровым портретом премии» предлагается понимать совокупность параметров, характеризующих структуру и функциональные особенности премиальной программы</w:t>
      </w:r>
      <w:r w:rsidR="00F224E9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B4EE446" w14:textId="77777777" w:rsidR="00F121D3" w:rsidRPr="00F62B86" w:rsidRDefault="00F224E9" w:rsidP="00F224E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портрета – обеспечить наглядное и сопоставимое представление профиля премии, упрощающее анализ, кластеризацию и принятие управленческих решений: корректировку критериев, оптимизацию фонда и прогнозирование эффекта премирования.</w:t>
      </w:r>
    </w:p>
    <w:p w14:paraId="0C9829C6" w14:textId="77777777" w:rsidR="00F121D3" w:rsidRPr="00F62B86" w:rsidRDefault="00F121D3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стратегического менеджмента Санкт-Петербурга премиальные механизмы могут рассматриваться как инструмент институционального стимулирования качества научно-технических результатов через механизм «цифрового портрета премии». Этот инструмент представляет собой многомерное отображение характеристик программы в виде лепестковой диаграммы, включающей восемь ключевых векторов, представленной на рисунке 4. К ним относятся финансовая привлекательность, статусный вес в сообществе, стратегическая актуальность, рыночная востребованность (конкуренция заявок), функциональный тип программы (стимулирующая или фиксирующая), управленческая прозрачность и мультипликативный эффект, социальная валидация.</w:t>
      </w:r>
    </w:p>
    <w:p w14:paraId="44874A53" w14:textId="77777777" w:rsidR="00FC3961" w:rsidRPr="00F62B86" w:rsidRDefault="00FC3961" w:rsidP="00FC3961">
      <w:pPr>
        <w:tabs>
          <w:tab w:val="left" w:pos="384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3B313D" w14:textId="77777777" w:rsidR="00FC3961" w:rsidRPr="00F62B86" w:rsidRDefault="00FC3961" w:rsidP="00FC3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6F97186" wp14:editId="5A851584">
            <wp:extent cx="5873115" cy="3333750"/>
            <wp:effectExtent l="0" t="0" r="13335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ADCB7E5" w14:textId="3E6DCBD5" w:rsidR="00FC3961" w:rsidRPr="00F62B86" w:rsidRDefault="00FC3961" w:rsidP="00FC396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0F0B22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C44E0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0F0B22"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62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«цифрового портрета» премий</w:t>
      </w:r>
    </w:p>
    <w:p w14:paraId="5AEB4A64" w14:textId="77777777" w:rsidR="000F0B22" w:rsidRPr="00FB4C0A" w:rsidRDefault="000F0B22" w:rsidP="000F0B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FB4C0A">
        <w:rPr>
          <w:rFonts w:ascii="Times New Roman" w:hAnsi="Times New Roman" w:cs="Times New Roman"/>
        </w:rPr>
        <w:t>Источник: составлено авторами.</w:t>
      </w:r>
    </w:p>
    <w:p w14:paraId="208791A7" w14:textId="77777777" w:rsidR="00F121D3" w:rsidRPr="00F5452A" w:rsidRDefault="00F121D3" w:rsidP="00FC39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EB75C2" w14:textId="77777777" w:rsidR="00441694" w:rsidRPr="00F62B86" w:rsidRDefault="00441694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Социальная валидация премиальных механизмов связана не только с публичным признанием результата, но и с мотивационным воздействием на научные коллективы и молодых исследователей. В этом контексте обращение к исследованиям мотивации в образовательной и научной среде позволяет рассматривать премирование как один из инструментов поддержания профессиональной вовлеченности, карьерной ориентации и признания значимости научного труда [11].</w:t>
      </w:r>
    </w:p>
    <w:p w14:paraId="63114EE5" w14:textId="77777777" w:rsidR="00F121D3" w:rsidRPr="00F62B86" w:rsidRDefault="00441694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Использование «цифрового портрета» позволяет рассматривать премиальные программы не только как форму поощрения, но и как инструмент институционального стимулирования научно-технических результатов. Корректировка параметров премий с учетом финансовой привлекательности, академического статуса, селективности, административного порога, медийной узнаваемости и социальной валидации позволяет повысить адресность управленческих решений в сфере поддержки научно-технической деятельности. В таком виде премиальная система выполняет поощрительную, экспертно-селекционную и мотивационную функции, способствуя выявлению ученых и коллективов, результаты которых имеют значение для развития научно-технологического потенциала Санкт-Петербурга и вклада</w:t>
      </w:r>
      <w:r w:rsidRPr="00F62B86">
        <w:rPr>
          <w:sz w:val="20"/>
        </w:rPr>
        <w:t xml:space="preserve"> </w:t>
      </w: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региона в достижение общегосударственных целей технологического развития.</w:t>
      </w:r>
    </w:p>
    <w:p w14:paraId="2A0C829B" w14:textId="578D8FBF" w:rsidR="00F121D3" w:rsidRPr="00F62B86" w:rsidRDefault="000F0B22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Выводы</w:t>
      </w:r>
    </w:p>
    <w:p w14:paraId="3CFB3EDD" w14:textId="77777777" w:rsidR="00FB3B98" w:rsidRPr="00F62B86" w:rsidRDefault="00FB3B98" w:rsidP="00FB3B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Проведенное исследование показало, что менеджмент качества научно-технической продукции в системе региональной поддержки научно-технологического развития требует сочетания количественных, экспертных и институциональных критериев оценки. Количественные показатели сохраняют значение для мониторинга научной активности, однако их использование должно дополняться анализом прикладной значимости, реализуемости, ресурсоемкости, оперативности применения и ожидаемого эффекта научно-технических результатов.</w:t>
      </w:r>
    </w:p>
    <w:p w14:paraId="0DA773DD" w14:textId="6D10BA88" w:rsidR="00FB3B98" w:rsidRPr="00F62B86" w:rsidRDefault="00FB3B98" w:rsidP="00FB3B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Уточнение понятийного аппарата позволило разграничить научный результат, научно-техническую деятельность и научно-техническую продукцию прикладного характера. Такое разграничение имеет принципиальное значение для корректной оценки качества, поскольку критерии, применимые к прикладным разработкам и научно-технической продукции, не должны механически переноситься на все научные результаты. </w:t>
      </w:r>
      <w:r w:rsidR="006716D9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lastRenderedPageBreak/>
        <w:t xml:space="preserve">Предложенная трактовка качества НТП фиксирует единый набор характеристик: соответствие поставленной цели, потенциальную применимость, реализуемость, </w:t>
      </w:r>
      <w:proofErr w:type="spellStart"/>
      <w:r w:rsidR="006716D9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воспроизводимость</w:t>
      </w:r>
      <w:proofErr w:type="spellEnd"/>
      <w:r w:rsidR="006716D9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, ресурсную обеспеченность, оперативность применения и ожидаемый эффект для решения технологических, производственных или управленческих задач.</w:t>
      </w:r>
    </w:p>
    <w:p w14:paraId="6C149503" w14:textId="77777777" w:rsidR="00FB3B98" w:rsidRPr="00F62B86" w:rsidRDefault="00FB3B98" w:rsidP="00FB3B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На материалах Санкт-Петербурга выявлена необходимость более полного учета потенциала научно-производственных организаций, промышленных предприятий, конструкторских бюро и корпоративных исследовательских подразделений в региональных механизмах признания и поддержки научных коллективов. Речь идет не о противопоставлении академического и производственного секторов, а о формировании более сбалансированной системы экспертной оценки, способной учитывать разные формы научного результата: публикации, проекты, модели, макеты, опытные образцы, программные продукты, методики испытаний и нормативно-техническую документацию.</w:t>
      </w:r>
    </w:p>
    <w:p w14:paraId="6CA588FA" w14:textId="77777777" w:rsidR="00FB3B98" w:rsidRPr="00F62B86" w:rsidRDefault="00FB3B98" w:rsidP="00FB3B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Предложенный подход к оценке качества научно-технической продукции через характеристики результативности, оперативности и ресурсоемкости позволяет рассматривать прикладной научно-технический результат с точки зрения потенциальной эффективности его применения. Использование экспертных шкал, ранжирования и многокритериальной оценки может быть полезно в ситуациях, когда статистические данные по новым научно-техническим решениям ограничены либо недостаточно сопоставимы.</w:t>
      </w:r>
    </w:p>
    <w:p w14:paraId="2584C673" w14:textId="1386A5D1" w:rsidR="00FB3B98" w:rsidRPr="00F62B86" w:rsidRDefault="006716D9" w:rsidP="00FB3B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Дополнительные возможности для совершенствования региональной системы поддержки научно-технологического развития формирует применение инструмента «цифрового портрета премии». </w:t>
      </w:r>
      <w:r w:rsidR="00FB3B98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Его использование позволяет сопоставлять параметры различных премиальных программ, выявлять их функциональную направленность, оценивать мотивационный и селекционный эффект, а также повышать адресность мер поддержки ученых, коллективов и организаций, создающих прикладные научно-технические результаты.</w:t>
      </w:r>
    </w:p>
    <w:p w14:paraId="71BDE558" w14:textId="77777777" w:rsidR="00F121D3" w:rsidRPr="00F62B86" w:rsidRDefault="00FB3B98" w:rsidP="00FB3B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Таким образом, повышение эффективности менеджмента качества научно-технической продукции связано с развитием институциональных механизмов экспертной оценки, совершенствованием премиальных и грантовых инструментов, а также укреплением взаимодействия между органами публичного управления, научным сообществом, образовательными организациями и промышленным сектором. Реализация указанных направлений может способствовать развитию научно-технологического потенциала Санкт-Петербурга и усилению вклада субъекта Российской Федерации в достижение общегосударственных целей технологического развития.</w:t>
      </w:r>
    </w:p>
    <w:p w14:paraId="4CA80856" w14:textId="77777777" w:rsidR="00F62B86" w:rsidRDefault="00F62B86" w:rsidP="009C68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144A52" w14:textId="3D5A4F7B" w:rsidR="00BD3C4C" w:rsidRPr="00F62B86" w:rsidRDefault="0058724E" w:rsidP="009C68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 w:rsidRPr="00F62B86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Список источников</w:t>
      </w:r>
    </w:p>
    <w:p w14:paraId="2E73EE40" w14:textId="77777777" w:rsidR="0058724E" w:rsidRPr="00F62B86" w:rsidRDefault="0058724E" w:rsidP="00BD3C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3087EB83" w14:textId="77777777" w:rsidR="0019206D" w:rsidRPr="00F62B86" w:rsidRDefault="00BD3C4C" w:rsidP="00192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hAnsi="Times New Roman" w:cs="Times New Roman"/>
          <w:sz w:val="24"/>
          <w:szCs w:val="28"/>
        </w:rPr>
        <w:t>1. Братченко С. А. Оценка эффективности современной российской модели государственного управления наукой. Вестник Московского университета. Серия 6. Экономика. 2020; (5): 68-101.</w:t>
      </w:r>
    </w:p>
    <w:p w14:paraId="6962C765" w14:textId="451E352D" w:rsidR="0019206D" w:rsidRPr="00F62B86" w:rsidRDefault="00D235B5" w:rsidP="001920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62B86">
        <w:rPr>
          <w:rFonts w:ascii="Times New Roman" w:hAnsi="Times New Roman" w:cs="Times New Roman"/>
          <w:sz w:val="24"/>
          <w:szCs w:val="28"/>
        </w:rPr>
        <w:t>2. Валишвили М. А. Институциональные аспекты инновационного развития Российской Федерации в современных условиях // Управление. 2025. Т. 13. № 4. С. 62-71. DOI: 10.26425/2309-3633-2025-13-4-62-71.</w:t>
      </w:r>
    </w:p>
    <w:p w14:paraId="0D88607C" w14:textId="77777777" w:rsidR="0019206D" w:rsidRPr="00F62B86" w:rsidRDefault="00D235B5" w:rsidP="00192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hAnsi="Times New Roman" w:cs="Times New Roman"/>
          <w:sz w:val="24"/>
          <w:szCs w:val="28"/>
        </w:rPr>
        <w:t xml:space="preserve">3. </w:t>
      </w:r>
      <w:r w:rsidR="0019206D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ГОСТ Р 56518-2015. Техника космическая. Требования к системам менеджмента качества организаций, участвующих в создании, производстве и эксплуатации космической техники. Москва: </w:t>
      </w:r>
      <w:proofErr w:type="spellStart"/>
      <w:r w:rsidR="0019206D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Стандартинформ</w:t>
      </w:r>
      <w:proofErr w:type="spellEnd"/>
      <w:r w:rsidR="0019206D" w:rsidRPr="00F62B86">
        <w:rPr>
          <w:rFonts w:ascii="Times New Roman" w:eastAsia="Times New Roman" w:hAnsi="Times New Roman" w:cs="Times New Roman"/>
          <w:sz w:val="24"/>
          <w:szCs w:val="28"/>
          <w:lang w:eastAsia="ru-RU"/>
        </w:rPr>
        <w:t>, 2015.</w:t>
      </w:r>
    </w:p>
    <w:p w14:paraId="43EA3303" w14:textId="3B159BAE" w:rsidR="00C5029F" w:rsidRPr="00F62B86" w:rsidRDefault="00094853" w:rsidP="00F121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hAnsi="Times New Roman" w:cs="Times New Roman"/>
          <w:sz w:val="24"/>
          <w:szCs w:val="28"/>
        </w:rPr>
        <w:t>4. Ермакович В. В. Научно-технический журнал по вопросам разработки и производства инновационной продукции // РАДИОНАВИГАЦИЯ И ВРЕМЯ: труды СЗРЦ Концерна ВКО «Алмаз-Антей». № 14. 2024. С. 46-57.</w:t>
      </w:r>
    </w:p>
    <w:p w14:paraId="0AB3DC40" w14:textId="491C0A63" w:rsidR="00857F4F" w:rsidRPr="00F62B86" w:rsidRDefault="00B80877" w:rsidP="00C72A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hAnsi="Times New Roman" w:cs="Times New Roman"/>
          <w:sz w:val="24"/>
          <w:szCs w:val="28"/>
        </w:rPr>
        <w:t xml:space="preserve">5. Ермакович В. В., Баушев С. В., Сайбель А. Г. Параметрический синтез системы научной деятельности: влияние на качество и эффективность // Санкт-Петербургский </w:t>
      </w:r>
      <w:r w:rsidRPr="00F62B86">
        <w:rPr>
          <w:rFonts w:ascii="Times New Roman" w:hAnsi="Times New Roman" w:cs="Times New Roman"/>
          <w:sz w:val="24"/>
          <w:szCs w:val="28"/>
        </w:rPr>
        <w:lastRenderedPageBreak/>
        <w:t>конгресс «Профессиональное образование, наука и инновации в XXI веке»: сборник трудов / ООО «ЭкспоФорум-Интернэшнл». СПб., 2024. С. 65-69.</w:t>
      </w:r>
    </w:p>
    <w:p w14:paraId="311534C7" w14:textId="74220A53" w:rsidR="0083527E" w:rsidRPr="00F62B86" w:rsidRDefault="00A25BCE" w:rsidP="008352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62B86">
        <w:rPr>
          <w:rFonts w:ascii="Times New Roman" w:hAnsi="Times New Roman" w:cs="Times New Roman"/>
          <w:sz w:val="24"/>
          <w:szCs w:val="28"/>
        </w:rPr>
        <w:t>6. Капогузов Е. А., Пахалов А. М. Технологический суверенитет: концептуальные подходы и восприятие российскими академическими экспертами // Журнал Новой экономической ассоциации. 2024. № 3. С. 244-250.</w:t>
      </w:r>
    </w:p>
    <w:p w14:paraId="1596929C" w14:textId="77777777" w:rsidR="0083527E" w:rsidRPr="00F62B86" w:rsidRDefault="00A25BCE" w:rsidP="008352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hAnsi="Times New Roman" w:cs="Times New Roman"/>
          <w:sz w:val="24"/>
          <w:szCs w:val="28"/>
        </w:rPr>
        <w:t>7. Коллегия Комитета по науке и высшей школе за 2025 год. URL: http://knvsh.gov.spb.ru/doc/?type=18 (дата обращения: 10.02.2026).</w:t>
      </w:r>
    </w:p>
    <w:p w14:paraId="4C8315C1" w14:textId="77777777" w:rsidR="00BD3C4C" w:rsidRPr="00F62B86" w:rsidRDefault="00A25BCE" w:rsidP="00BD3C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62B86">
        <w:rPr>
          <w:rFonts w:ascii="Times New Roman" w:hAnsi="Times New Roman" w:cs="Times New Roman"/>
          <w:sz w:val="24"/>
          <w:szCs w:val="28"/>
        </w:rPr>
        <w:t>8. Концепция научно-технологического развития Санкт-Петербурга на период до 2030 года. URL: http://knvsh.gov.spb.ru/doc/ (дата обращения: 10.02.2026).</w:t>
      </w:r>
    </w:p>
    <w:p w14:paraId="5BE677F6" w14:textId="77777777" w:rsidR="00BD3C4C" w:rsidRPr="00F62B86" w:rsidRDefault="00A25BCE" w:rsidP="00071C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62B86">
        <w:rPr>
          <w:rFonts w:ascii="Times New Roman" w:hAnsi="Times New Roman" w:cs="Times New Roman"/>
          <w:sz w:val="24"/>
          <w:szCs w:val="28"/>
        </w:rPr>
        <w:t>9. Постановление Правительства Санкт-Петербурга от 23.06.2014 № 496 «О государственной программе Санкт-Петербурга «Экономика знаний в Санкт-Петербурге». URL: https://docs.cntd.ru/document/822403603 (дата обращения: 01.05.2026).</w:t>
      </w:r>
    </w:p>
    <w:p w14:paraId="3394F2F5" w14:textId="77777777" w:rsidR="00E62313" w:rsidRPr="00F62B86" w:rsidRDefault="00A25BCE" w:rsidP="00E623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62B86">
        <w:rPr>
          <w:rFonts w:ascii="Times New Roman" w:hAnsi="Times New Roman" w:cs="Times New Roman"/>
          <w:sz w:val="24"/>
          <w:szCs w:val="28"/>
        </w:rPr>
        <w:t>10. Реестр ведущих научных и научно-педагогических школ Санкт-Петербурга. URL: http://knvsh.gov.spb.ru/closedcontests/view/85 (дата обращения: 01.05.2026).</w:t>
      </w:r>
    </w:p>
    <w:p w14:paraId="74396BA1" w14:textId="64BBE8EC" w:rsidR="00BD3C4C" w:rsidRPr="00F62B86" w:rsidRDefault="00A25BCE" w:rsidP="003E58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62B86">
        <w:rPr>
          <w:rFonts w:ascii="Times New Roman" w:hAnsi="Times New Roman" w:cs="Times New Roman"/>
          <w:sz w:val="24"/>
          <w:szCs w:val="28"/>
        </w:rPr>
        <w:t>11. Севостьянов Д. А., Гайнанова А. Р., Ауман Е. А. Иерархическая система потребностей по А. Маслоу и мотивация современных студентов // Профессиональное образование в современном мире. 2024. Т. 14. № 1. С. 103-108. DOI: 10.20913/2618-7515-2024-1-12.</w:t>
      </w:r>
    </w:p>
    <w:p w14:paraId="59E2FC64" w14:textId="20CDE5CE" w:rsidR="006E6345" w:rsidRPr="00F62B86" w:rsidRDefault="00D235B5" w:rsidP="006E6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62B86">
        <w:rPr>
          <w:rFonts w:ascii="Times New Roman" w:hAnsi="Times New Roman" w:cs="Times New Roman"/>
          <w:sz w:val="24"/>
          <w:szCs w:val="28"/>
        </w:rPr>
        <w:t>1</w:t>
      </w:r>
      <w:r w:rsidR="00A25BCE" w:rsidRPr="00F62B86">
        <w:rPr>
          <w:rFonts w:ascii="Times New Roman" w:hAnsi="Times New Roman" w:cs="Times New Roman"/>
          <w:sz w:val="24"/>
          <w:szCs w:val="28"/>
        </w:rPr>
        <w:t>2</w:t>
      </w:r>
      <w:r w:rsidRPr="00F62B86">
        <w:rPr>
          <w:rFonts w:ascii="Times New Roman" w:hAnsi="Times New Roman" w:cs="Times New Roman"/>
          <w:sz w:val="24"/>
          <w:szCs w:val="28"/>
        </w:rPr>
        <w:t xml:space="preserve">. </w:t>
      </w:r>
      <w:r w:rsidR="00BD3C4C" w:rsidRPr="00F62B86">
        <w:rPr>
          <w:rFonts w:ascii="Times New Roman" w:hAnsi="Times New Roman" w:cs="Times New Roman"/>
          <w:sz w:val="24"/>
          <w:szCs w:val="28"/>
        </w:rPr>
        <w:t>Численность Санкт-Петербургского отделения РАН. URL: https://new.ras.ru/academy-new/regionalnye-otdeleniya-ran/sankt-peterburgskoe-otdelenie-ran/ (дата обращения</w:t>
      </w:r>
      <w:r w:rsidR="00F62B86">
        <w:rPr>
          <w:rFonts w:ascii="Times New Roman" w:hAnsi="Times New Roman" w:cs="Times New Roman"/>
          <w:sz w:val="24"/>
          <w:szCs w:val="28"/>
        </w:rPr>
        <w:t>:</w:t>
      </w:r>
      <w:r w:rsidR="00BD3C4C" w:rsidRPr="00F62B86">
        <w:rPr>
          <w:rFonts w:ascii="Times New Roman" w:hAnsi="Times New Roman" w:cs="Times New Roman"/>
          <w:sz w:val="24"/>
          <w:szCs w:val="28"/>
        </w:rPr>
        <w:t xml:space="preserve"> 01.05.2026).</w:t>
      </w:r>
    </w:p>
    <w:p w14:paraId="73F980BC" w14:textId="1021335B" w:rsidR="00BD3C4C" w:rsidRPr="00F62B86" w:rsidRDefault="00D235B5" w:rsidP="006E6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62B86">
        <w:rPr>
          <w:rFonts w:ascii="Times New Roman" w:hAnsi="Times New Roman" w:cs="Times New Roman"/>
          <w:sz w:val="24"/>
          <w:szCs w:val="28"/>
        </w:rPr>
        <w:t>1</w:t>
      </w:r>
      <w:r w:rsidR="00A25BCE" w:rsidRPr="00F62B86">
        <w:rPr>
          <w:rFonts w:ascii="Times New Roman" w:hAnsi="Times New Roman" w:cs="Times New Roman"/>
          <w:sz w:val="24"/>
          <w:szCs w:val="28"/>
        </w:rPr>
        <w:t>3</w:t>
      </w:r>
      <w:r w:rsidRPr="00F62B86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="00BD3C4C" w:rsidRPr="00F62B86">
        <w:rPr>
          <w:rFonts w:ascii="Times New Roman" w:hAnsi="Times New Roman" w:cs="Times New Roman"/>
          <w:sz w:val="24"/>
          <w:szCs w:val="28"/>
        </w:rPr>
        <w:t>Шинкевич</w:t>
      </w:r>
      <w:proofErr w:type="spellEnd"/>
      <w:r w:rsidR="00BD3C4C" w:rsidRPr="00F62B86">
        <w:rPr>
          <w:rFonts w:ascii="Times New Roman" w:hAnsi="Times New Roman" w:cs="Times New Roman"/>
          <w:sz w:val="24"/>
          <w:szCs w:val="28"/>
        </w:rPr>
        <w:t xml:space="preserve"> А.</w:t>
      </w:r>
      <w:r w:rsidR="000F0B22" w:rsidRPr="00F62B86">
        <w:rPr>
          <w:rFonts w:ascii="Times New Roman" w:hAnsi="Times New Roman" w:cs="Times New Roman"/>
          <w:sz w:val="24"/>
          <w:szCs w:val="28"/>
        </w:rPr>
        <w:t xml:space="preserve"> </w:t>
      </w:r>
      <w:r w:rsidR="00BD3C4C" w:rsidRPr="00F62B86">
        <w:rPr>
          <w:rFonts w:ascii="Times New Roman" w:hAnsi="Times New Roman" w:cs="Times New Roman"/>
          <w:sz w:val="24"/>
          <w:szCs w:val="28"/>
        </w:rPr>
        <w:t>И., Шогенов В.</w:t>
      </w:r>
      <w:r w:rsidR="000F0B22" w:rsidRPr="00F62B86">
        <w:rPr>
          <w:rFonts w:ascii="Times New Roman" w:hAnsi="Times New Roman" w:cs="Times New Roman"/>
          <w:sz w:val="24"/>
          <w:szCs w:val="28"/>
        </w:rPr>
        <w:t xml:space="preserve"> </w:t>
      </w:r>
      <w:r w:rsidR="00BD3C4C" w:rsidRPr="00F62B86">
        <w:rPr>
          <w:rFonts w:ascii="Times New Roman" w:hAnsi="Times New Roman" w:cs="Times New Roman"/>
          <w:sz w:val="24"/>
          <w:szCs w:val="28"/>
        </w:rPr>
        <w:t>А. Некоторые аспекты обеспечения технологического суверенитета научно-производственного предприятия</w:t>
      </w:r>
      <w:r w:rsidR="000F0B22" w:rsidRPr="00F62B86">
        <w:rPr>
          <w:rFonts w:ascii="Times New Roman" w:hAnsi="Times New Roman" w:cs="Times New Roman"/>
          <w:sz w:val="24"/>
          <w:szCs w:val="28"/>
        </w:rPr>
        <w:t xml:space="preserve"> </w:t>
      </w:r>
      <w:r w:rsidR="00BD3C4C" w:rsidRPr="00F62B86">
        <w:rPr>
          <w:rFonts w:ascii="Times New Roman" w:hAnsi="Times New Roman" w:cs="Times New Roman"/>
          <w:sz w:val="24"/>
          <w:szCs w:val="28"/>
        </w:rPr>
        <w:t>//</w:t>
      </w:r>
      <w:r w:rsidR="000F0B22" w:rsidRPr="00F62B86">
        <w:rPr>
          <w:rFonts w:ascii="Times New Roman" w:hAnsi="Times New Roman" w:cs="Times New Roman"/>
          <w:sz w:val="24"/>
          <w:szCs w:val="28"/>
        </w:rPr>
        <w:t xml:space="preserve"> </w:t>
      </w:r>
      <w:r w:rsidR="00BD3C4C" w:rsidRPr="00F62B86">
        <w:rPr>
          <w:rFonts w:ascii="Times New Roman" w:hAnsi="Times New Roman" w:cs="Times New Roman"/>
          <w:sz w:val="24"/>
          <w:szCs w:val="28"/>
        </w:rPr>
        <w:t>Известия Самарского научного центра Российской академии наук</w:t>
      </w:r>
      <w:r w:rsidR="000F0B22" w:rsidRPr="00F62B86">
        <w:rPr>
          <w:rFonts w:ascii="Times New Roman" w:hAnsi="Times New Roman" w:cs="Times New Roman"/>
          <w:sz w:val="24"/>
          <w:szCs w:val="28"/>
        </w:rPr>
        <w:t>. 2023. Т</w:t>
      </w:r>
      <w:r w:rsidR="00BD3C4C" w:rsidRPr="00F62B86">
        <w:rPr>
          <w:rFonts w:ascii="Times New Roman" w:hAnsi="Times New Roman" w:cs="Times New Roman"/>
          <w:sz w:val="24"/>
          <w:szCs w:val="28"/>
        </w:rPr>
        <w:t>.</w:t>
      </w:r>
      <w:r w:rsidR="000F0B22" w:rsidRPr="00F62B86">
        <w:rPr>
          <w:rFonts w:ascii="Times New Roman" w:hAnsi="Times New Roman" w:cs="Times New Roman"/>
          <w:sz w:val="24"/>
          <w:szCs w:val="28"/>
        </w:rPr>
        <w:t xml:space="preserve"> </w:t>
      </w:r>
      <w:r w:rsidR="00BD3C4C" w:rsidRPr="00F62B86">
        <w:rPr>
          <w:rFonts w:ascii="Times New Roman" w:hAnsi="Times New Roman" w:cs="Times New Roman"/>
          <w:sz w:val="24"/>
          <w:szCs w:val="28"/>
        </w:rPr>
        <w:t>25</w:t>
      </w:r>
      <w:r w:rsidR="000F0B22" w:rsidRPr="00F62B86">
        <w:rPr>
          <w:rFonts w:ascii="Times New Roman" w:hAnsi="Times New Roman" w:cs="Times New Roman"/>
          <w:sz w:val="24"/>
          <w:szCs w:val="28"/>
        </w:rPr>
        <w:t>.</w:t>
      </w:r>
      <w:r w:rsidR="00BD3C4C" w:rsidRPr="00F62B86">
        <w:rPr>
          <w:rFonts w:ascii="Times New Roman" w:hAnsi="Times New Roman" w:cs="Times New Roman"/>
          <w:sz w:val="24"/>
          <w:szCs w:val="28"/>
        </w:rPr>
        <w:t xml:space="preserve"> № 1</w:t>
      </w:r>
      <w:r w:rsidR="000F0B22" w:rsidRPr="00F62B86">
        <w:rPr>
          <w:rFonts w:ascii="Times New Roman" w:hAnsi="Times New Roman" w:cs="Times New Roman"/>
          <w:sz w:val="24"/>
          <w:szCs w:val="28"/>
        </w:rPr>
        <w:t>.</w:t>
      </w:r>
      <w:r w:rsidR="00BD3C4C" w:rsidRPr="00F62B86">
        <w:rPr>
          <w:rFonts w:ascii="Times New Roman" w:hAnsi="Times New Roman" w:cs="Times New Roman"/>
          <w:sz w:val="24"/>
          <w:szCs w:val="28"/>
        </w:rPr>
        <w:t xml:space="preserve"> С. 23–27.</w:t>
      </w:r>
    </w:p>
    <w:p w14:paraId="45CCA887" w14:textId="77777777" w:rsidR="008037CE" w:rsidRPr="00F62B86" w:rsidRDefault="008037CE" w:rsidP="006E6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576A232D" w14:textId="77777777" w:rsidR="008037CE" w:rsidRPr="00F62B86" w:rsidRDefault="008037CE" w:rsidP="006E6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sectPr w:rsidR="008037CE" w:rsidRPr="00F62B86" w:rsidSect="00C420AA"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72B921" w14:textId="77777777" w:rsidR="00390930" w:rsidRDefault="00390930" w:rsidP="00C420AA">
      <w:pPr>
        <w:spacing w:after="0" w:line="240" w:lineRule="auto"/>
      </w:pPr>
      <w:r>
        <w:separator/>
      </w:r>
    </w:p>
  </w:endnote>
  <w:endnote w:type="continuationSeparator" w:id="0">
    <w:p w14:paraId="7725E56D" w14:textId="77777777" w:rsidR="00390930" w:rsidRDefault="00390930" w:rsidP="00C42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CA128" w14:textId="77777777" w:rsidR="00390930" w:rsidRDefault="00390930" w:rsidP="00C420AA">
      <w:pPr>
        <w:spacing w:after="0" w:line="240" w:lineRule="auto"/>
      </w:pPr>
      <w:r>
        <w:separator/>
      </w:r>
    </w:p>
  </w:footnote>
  <w:footnote w:type="continuationSeparator" w:id="0">
    <w:p w14:paraId="1AB6F133" w14:textId="77777777" w:rsidR="00390930" w:rsidRDefault="00390930" w:rsidP="00C42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273374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183112E" w14:textId="32FE5B83" w:rsidR="00C420AA" w:rsidRPr="00C420AA" w:rsidRDefault="00C420AA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420A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420A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420A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B47AE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C420A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C36F179" w14:textId="77777777" w:rsidR="00C420AA" w:rsidRDefault="00C420A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81675"/>
    <w:multiLevelType w:val="hybridMultilevel"/>
    <w:tmpl w:val="7556D04C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D0A2B"/>
    <w:multiLevelType w:val="hybridMultilevel"/>
    <w:tmpl w:val="4B80F36E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3E33"/>
    <w:multiLevelType w:val="hybridMultilevel"/>
    <w:tmpl w:val="0AA26DEE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2630A"/>
    <w:multiLevelType w:val="hybridMultilevel"/>
    <w:tmpl w:val="8F62257C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90FF2"/>
    <w:multiLevelType w:val="hybridMultilevel"/>
    <w:tmpl w:val="9A9612F2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15E46"/>
    <w:multiLevelType w:val="hybridMultilevel"/>
    <w:tmpl w:val="FC422194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743D4"/>
    <w:multiLevelType w:val="multilevel"/>
    <w:tmpl w:val="CDE0B7F2"/>
    <w:lvl w:ilvl="0">
      <w:numFmt w:val="bullet"/>
      <w:lvlText w:val="-"/>
      <w:lvlJc w:val="left"/>
      <w:pPr>
        <w:ind w:left="1068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3228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388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7" w15:restartNumberingAfterBreak="0">
    <w:nsid w:val="3C4F5730"/>
    <w:multiLevelType w:val="multilevel"/>
    <w:tmpl w:val="265024F6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05D6758"/>
    <w:multiLevelType w:val="hybridMultilevel"/>
    <w:tmpl w:val="B9384756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96024"/>
    <w:multiLevelType w:val="hybridMultilevel"/>
    <w:tmpl w:val="05F6FD14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C5100"/>
    <w:multiLevelType w:val="hybridMultilevel"/>
    <w:tmpl w:val="8D3CA81C"/>
    <w:lvl w:ilvl="0" w:tplc="6B88C6A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6674F"/>
    <w:multiLevelType w:val="hybridMultilevel"/>
    <w:tmpl w:val="205CA940"/>
    <w:lvl w:ilvl="0" w:tplc="6B88C6A4">
      <w:start w:val="1"/>
      <w:numFmt w:val="bullet"/>
      <w:lvlText w:val="˗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F014F42"/>
    <w:multiLevelType w:val="multilevel"/>
    <w:tmpl w:val="B420DC1A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1"/>
  </w:num>
  <w:num w:numId="5">
    <w:abstractNumId w:val="9"/>
  </w:num>
  <w:num w:numId="6">
    <w:abstractNumId w:val="10"/>
  </w:num>
  <w:num w:numId="7">
    <w:abstractNumId w:val="5"/>
  </w:num>
  <w:num w:numId="8">
    <w:abstractNumId w:val="1"/>
  </w:num>
  <w:num w:numId="9">
    <w:abstractNumId w:val="2"/>
  </w:num>
  <w:num w:numId="10">
    <w:abstractNumId w:val="4"/>
  </w:num>
  <w:num w:numId="11">
    <w:abstractNumId w:val="0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584"/>
    <w:rsid w:val="00003CFE"/>
    <w:rsid w:val="00040BFB"/>
    <w:rsid w:val="00044396"/>
    <w:rsid w:val="000459A9"/>
    <w:rsid w:val="0005400F"/>
    <w:rsid w:val="00065BBF"/>
    <w:rsid w:val="00071C01"/>
    <w:rsid w:val="0007205D"/>
    <w:rsid w:val="00094853"/>
    <w:rsid w:val="000C6407"/>
    <w:rsid w:val="000D1491"/>
    <w:rsid w:val="000E0EE4"/>
    <w:rsid w:val="000E3860"/>
    <w:rsid w:val="000F0B22"/>
    <w:rsid w:val="000F6B82"/>
    <w:rsid w:val="00122C8B"/>
    <w:rsid w:val="00133D03"/>
    <w:rsid w:val="001422C4"/>
    <w:rsid w:val="00177F71"/>
    <w:rsid w:val="0019206D"/>
    <w:rsid w:val="001A365B"/>
    <w:rsid w:val="001A47F6"/>
    <w:rsid w:val="001B7E46"/>
    <w:rsid w:val="001D3679"/>
    <w:rsid w:val="001F7EED"/>
    <w:rsid w:val="002370B6"/>
    <w:rsid w:val="00247E75"/>
    <w:rsid w:val="002556DD"/>
    <w:rsid w:val="0028439C"/>
    <w:rsid w:val="002C12A3"/>
    <w:rsid w:val="002C6AB8"/>
    <w:rsid w:val="002D1ACC"/>
    <w:rsid w:val="002D2DD0"/>
    <w:rsid w:val="002E7620"/>
    <w:rsid w:val="00315CC1"/>
    <w:rsid w:val="0032587E"/>
    <w:rsid w:val="0035051F"/>
    <w:rsid w:val="003539D4"/>
    <w:rsid w:val="00370AEB"/>
    <w:rsid w:val="003712A1"/>
    <w:rsid w:val="003778EF"/>
    <w:rsid w:val="003864BC"/>
    <w:rsid w:val="00390930"/>
    <w:rsid w:val="003A671F"/>
    <w:rsid w:val="003B5E71"/>
    <w:rsid w:val="003E58DD"/>
    <w:rsid w:val="00400D90"/>
    <w:rsid w:val="00441694"/>
    <w:rsid w:val="00447AD9"/>
    <w:rsid w:val="0045035D"/>
    <w:rsid w:val="00456F85"/>
    <w:rsid w:val="004621A7"/>
    <w:rsid w:val="0046271E"/>
    <w:rsid w:val="004758F8"/>
    <w:rsid w:val="00507F26"/>
    <w:rsid w:val="0053070B"/>
    <w:rsid w:val="0053782D"/>
    <w:rsid w:val="00552C32"/>
    <w:rsid w:val="0058724E"/>
    <w:rsid w:val="00587E1F"/>
    <w:rsid w:val="005C44E0"/>
    <w:rsid w:val="005E6180"/>
    <w:rsid w:val="005F17EF"/>
    <w:rsid w:val="006052C2"/>
    <w:rsid w:val="00623AC5"/>
    <w:rsid w:val="006716D9"/>
    <w:rsid w:val="0067308E"/>
    <w:rsid w:val="0067679A"/>
    <w:rsid w:val="0067792D"/>
    <w:rsid w:val="006B7EFC"/>
    <w:rsid w:val="006D22E3"/>
    <w:rsid w:val="006D2319"/>
    <w:rsid w:val="006E49A6"/>
    <w:rsid w:val="006E5AA6"/>
    <w:rsid w:val="006E6345"/>
    <w:rsid w:val="006F0C32"/>
    <w:rsid w:val="006F68F2"/>
    <w:rsid w:val="0070695A"/>
    <w:rsid w:val="00710A5A"/>
    <w:rsid w:val="00773579"/>
    <w:rsid w:val="00780067"/>
    <w:rsid w:val="007852CB"/>
    <w:rsid w:val="007A7B60"/>
    <w:rsid w:val="007C65EF"/>
    <w:rsid w:val="007C7226"/>
    <w:rsid w:val="007D13D5"/>
    <w:rsid w:val="007E06B1"/>
    <w:rsid w:val="007E45D9"/>
    <w:rsid w:val="008037CE"/>
    <w:rsid w:val="00807B1D"/>
    <w:rsid w:val="00812F8A"/>
    <w:rsid w:val="00813AB0"/>
    <w:rsid w:val="00834DC3"/>
    <w:rsid w:val="0083527E"/>
    <w:rsid w:val="0083685C"/>
    <w:rsid w:val="00857F4F"/>
    <w:rsid w:val="0086461D"/>
    <w:rsid w:val="00887178"/>
    <w:rsid w:val="00891B5B"/>
    <w:rsid w:val="00896406"/>
    <w:rsid w:val="008B0AC8"/>
    <w:rsid w:val="008B6F39"/>
    <w:rsid w:val="008C6F3C"/>
    <w:rsid w:val="0095326E"/>
    <w:rsid w:val="0096520E"/>
    <w:rsid w:val="00966215"/>
    <w:rsid w:val="0097796D"/>
    <w:rsid w:val="00992469"/>
    <w:rsid w:val="009C6859"/>
    <w:rsid w:val="009C697F"/>
    <w:rsid w:val="009D5D08"/>
    <w:rsid w:val="00A0401C"/>
    <w:rsid w:val="00A25BCE"/>
    <w:rsid w:val="00A62E7A"/>
    <w:rsid w:val="00A65D7E"/>
    <w:rsid w:val="00A81515"/>
    <w:rsid w:val="00A93E13"/>
    <w:rsid w:val="00A961C8"/>
    <w:rsid w:val="00AA79E1"/>
    <w:rsid w:val="00AB4032"/>
    <w:rsid w:val="00AC4B0F"/>
    <w:rsid w:val="00AE4567"/>
    <w:rsid w:val="00B01EE2"/>
    <w:rsid w:val="00B077C0"/>
    <w:rsid w:val="00B34D8D"/>
    <w:rsid w:val="00B478FC"/>
    <w:rsid w:val="00B74328"/>
    <w:rsid w:val="00B80877"/>
    <w:rsid w:val="00BA1EA2"/>
    <w:rsid w:val="00BA38BB"/>
    <w:rsid w:val="00BA58EC"/>
    <w:rsid w:val="00BA5EA8"/>
    <w:rsid w:val="00BB06B9"/>
    <w:rsid w:val="00BC453B"/>
    <w:rsid w:val="00BC6A20"/>
    <w:rsid w:val="00BD27ED"/>
    <w:rsid w:val="00BD3C4C"/>
    <w:rsid w:val="00BD5D98"/>
    <w:rsid w:val="00BE14CD"/>
    <w:rsid w:val="00BE4BD6"/>
    <w:rsid w:val="00BE6642"/>
    <w:rsid w:val="00C01F94"/>
    <w:rsid w:val="00C11FD8"/>
    <w:rsid w:val="00C24649"/>
    <w:rsid w:val="00C2626D"/>
    <w:rsid w:val="00C33ADF"/>
    <w:rsid w:val="00C420AA"/>
    <w:rsid w:val="00C441AE"/>
    <w:rsid w:val="00C5029F"/>
    <w:rsid w:val="00C54986"/>
    <w:rsid w:val="00C62C67"/>
    <w:rsid w:val="00C72A88"/>
    <w:rsid w:val="00C77092"/>
    <w:rsid w:val="00C85584"/>
    <w:rsid w:val="00CA6903"/>
    <w:rsid w:val="00CD7EA9"/>
    <w:rsid w:val="00D13725"/>
    <w:rsid w:val="00D143E1"/>
    <w:rsid w:val="00D1474E"/>
    <w:rsid w:val="00D235B5"/>
    <w:rsid w:val="00D5286F"/>
    <w:rsid w:val="00D939B1"/>
    <w:rsid w:val="00DB47AE"/>
    <w:rsid w:val="00DB61B2"/>
    <w:rsid w:val="00DD5B3C"/>
    <w:rsid w:val="00DE6B51"/>
    <w:rsid w:val="00DF18EB"/>
    <w:rsid w:val="00DF63B2"/>
    <w:rsid w:val="00E07CBF"/>
    <w:rsid w:val="00E36A49"/>
    <w:rsid w:val="00E36CC2"/>
    <w:rsid w:val="00E4083B"/>
    <w:rsid w:val="00E43857"/>
    <w:rsid w:val="00E50C8A"/>
    <w:rsid w:val="00E6198D"/>
    <w:rsid w:val="00E62313"/>
    <w:rsid w:val="00E944C9"/>
    <w:rsid w:val="00EA2CF9"/>
    <w:rsid w:val="00EA769F"/>
    <w:rsid w:val="00ED06BD"/>
    <w:rsid w:val="00EE44A5"/>
    <w:rsid w:val="00F121D3"/>
    <w:rsid w:val="00F173C3"/>
    <w:rsid w:val="00F224E9"/>
    <w:rsid w:val="00F32E34"/>
    <w:rsid w:val="00F41C4A"/>
    <w:rsid w:val="00F5452A"/>
    <w:rsid w:val="00F61FF2"/>
    <w:rsid w:val="00F621D8"/>
    <w:rsid w:val="00F62B86"/>
    <w:rsid w:val="00F73052"/>
    <w:rsid w:val="00FA16B3"/>
    <w:rsid w:val="00FA44BA"/>
    <w:rsid w:val="00FA707B"/>
    <w:rsid w:val="00FB3B98"/>
    <w:rsid w:val="00FB4C0A"/>
    <w:rsid w:val="00FB77C7"/>
    <w:rsid w:val="00F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CE0A"/>
  <w15:docId w15:val="{BE029AC4-B26F-458A-8F3C-BE3A8ECD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0B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1C01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42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420AA"/>
  </w:style>
  <w:style w:type="paragraph" w:styleId="a6">
    <w:name w:val="footer"/>
    <w:basedOn w:val="a"/>
    <w:link w:val="a7"/>
    <w:uiPriority w:val="99"/>
    <w:unhideWhenUsed/>
    <w:rsid w:val="00C42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420AA"/>
  </w:style>
  <w:style w:type="paragraph" w:styleId="a8">
    <w:name w:val="Balloon Text"/>
    <w:basedOn w:val="a"/>
    <w:link w:val="a9"/>
    <w:uiPriority w:val="99"/>
    <w:semiHidden/>
    <w:unhideWhenUsed/>
    <w:rsid w:val="005C4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C44E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3A6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017">
              <w:marLeft w:val="0"/>
              <w:marRight w:val="0"/>
              <w:marTop w:val="1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8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1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2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!%20&#1048;&#1085;&#1089;&#1090;&#1088;&#1091;&#1082;&#1094;&#1080;&#1080;\&#1040;&#1089;&#1087;&#1080;&#1088;&#1072;&#1085;&#1090;&#1091;&#1088;&#1072;\&#1050;&#1072;&#1085;&#1076;&#1080;&#1076;&#1072;&#1090;&#1089;&#1082;&#1072;&#1103;\&#1055;&#1088;&#1077;&#1084;&#1080;&#1080;%20&#1076;&#1080;&#1072;&#1075;&#1088;&#1072;&#1084;&#1084;&#1072;_11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'[Премии диаграмма_111.xlsx]Лист4'!$B$1</c:f>
              <c:strCache>
                <c:ptCount val="1"/>
                <c:pt idx="0">
                  <c:v>Премии Правительства РФ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'[Премии диаграмма_111.xlsx]Лист4'!$A$2:$A$9</c:f>
              <c:strCache>
                <c:ptCount val="8"/>
                <c:pt idx="0">
                  <c:v>1)    Финансирование</c:v>
                </c:pt>
                <c:pt idx="1">
                  <c:v>2)    Академический статус (престиж)</c:v>
                </c:pt>
                <c:pt idx="2">
                  <c:v>3)    Охват (от региона до мира)</c:v>
                </c:pt>
                <c:pt idx="3">
                  <c:v>4)    Селективность (сложность победить)</c:v>
                </c:pt>
                <c:pt idx="4">
                  <c:v>5)    Вектор действия (1 - заслуги, 5 - старт)</c:v>
                </c:pt>
                <c:pt idx="5">
                  <c:v>6)    Административный порог (сложность документов)</c:v>
                </c:pt>
                <c:pt idx="6">
                  <c:v>7)    Медийная узнаваемость</c:v>
                </c:pt>
                <c:pt idx="7">
                  <c:v>8)    Социальная валидация</c:v>
                </c:pt>
              </c:strCache>
            </c:strRef>
          </c:cat>
          <c:val>
            <c:numRef>
              <c:f>'[Премии диаграмма_111.xlsx]Лист4'!$B$2:$B$9</c:f>
              <c:numCache>
                <c:formatCode>General</c:formatCode>
                <c:ptCount val="8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2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D2-4C74-A144-48547A6E798E}"/>
            </c:ext>
          </c:extLst>
        </c:ser>
        <c:ser>
          <c:idx val="1"/>
          <c:order val="1"/>
          <c:tx>
            <c:strRef>
              <c:f>'[Премии диаграмма_111.xlsx]Лист4'!$C$1</c:f>
              <c:strCache>
                <c:ptCount val="1"/>
                <c:pt idx="0">
                  <c:v>Премии Правительства СПб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'[Премии диаграмма_111.xlsx]Лист4'!$A$2:$A$9</c:f>
              <c:strCache>
                <c:ptCount val="8"/>
                <c:pt idx="0">
                  <c:v>1)    Финансирование</c:v>
                </c:pt>
                <c:pt idx="1">
                  <c:v>2)    Академический статус (престиж)</c:v>
                </c:pt>
                <c:pt idx="2">
                  <c:v>3)    Охват (от региона до мира)</c:v>
                </c:pt>
                <c:pt idx="3">
                  <c:v>4)    Селективность (сложность победить)</c:v>
                </c:pt>
                <c:pt idx="4">
                  <c:v>5)    Вектор действия (1 - заслуги, 5 - старт)</c:v>
                </c:pt>
                <c:pt idx="5">
                  <c:v>6)    Административный порог (сложность документов)</c:v>
                </c:pt>
                <c:pt idx="6">
                  <c:v>7)    Медийная узнаваемость</c:v>
                </c:pt>
                <c:pt idx="7">
                  <c:v>8)    Социальная валидация</c:v>
                </c:pt>
              </c:strCache>
            </c:strRef>
          </c:cat>
          <c:val>
            <c:numRef>
              <c:f>'[Премии диаграмма_111.xlsx]Лист4'!$C$2:$C$9</c:f>
              <c:numCache>
                <c:formatCode>General</c:formatCode>
                <c:ptCount val="8"/>
                <c:pt idx="0">
                  <c:v>2</c:v>
                </c:pt>
                <c:pt idx="1">
                  <c:v>3</c:v>
                </c:pt>
                <c:pt idx="2">
                  <c:v>2</c:v>
                </c:pt>
                <c:pt idx="3">
                  <c:v>3</c:v>
                </c:pt>
                <c:pt idx="4">
                  <c:v>3</c:v>
                </c:pt>
                <c:pt idx="5">
                  <c:v>4</c:v>
                </c:pt>
                <c:pt idx="6">
                  <c:v>3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D2-4C74-A144-48547A6E798E}"/>
            </c:ext>
          </c:extLst>
        </c:ser>
        <c:ser>
          <c:idx val="2"/>
          <c:order val="2"/>
          <c:tx>
            <c:strRef>
              <c:f>'[Премии диаграмма_111.xlsx]Лист4'!$D$1</c:f>
              <c:strCache>
                <c:ptCount val="1"/>
                <c:pt idx="0">
                  <c:v>Медаль РАН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'[Премии диаграмма_111.xlsx]Лист4'!$A$2:$A$9</c:f>
              <c:strCache>
                <c:ptCount val="8"/>
                <c:pt idx="0">
                  <c:v>1)    Финансирование</c:v>
                </c:pt>
                <c:pt idx="1">
                  <c:v>2)    Академический статус (престиж)</c:v>
                </c:pt>
                <c:pt idx="2">
                  <c:v>3)    Охват (от региона до мира)</c:v>
                </c:pt>
                <c:pt idx="3">
                  <c:v>4)    Селективность (сложность победить)</c:v>
                </c:pt>
                <c:pt idx="4">
                  <c:v>5)    Вектор действия (1 - заслуги, 5 - старт)</c:v>
                </c:pt>
                <c:pt idx="5">
                  <c:v>6)    Административный порог (сложность документов)</c:v>
                </c:pt>
                <c:pt idx="6">
                  <c:v>7)    Медийная узнаваемость</c:v>
                </c:pt>
                <c:pt idx="7">
                  <c:v>8)    Социальная валидация</c:v>
                </c:pt>
              </c:strCache>
            </c:strRef>
          </c:cat>
          <c:val>
            <c:numRef>
              <c:f>'[Премии диаграмма_111.xlsx]Лист4'!$D$2:$D$9</c:f>
              <c:numCache>
                <c:formatCode>General</c:formatCode>
                <c:ptCount val="8"/>
                <c:pt idx="0">
                  <c:v>1</c:v>
                </c:pt>
                <c:pt idx="1">
                  <c:v>5</c:v>
                </c:pt>
                <c:pt idx="2">
                  <c:v>4</c:v>
                </c:pt>
                <c:pt idx="3">
                  <c:v>5</c:v>
                </c:pt>
                <c:pt idx="4">
                  <c:v>1</c:v>
                </c:pt>
                <c:pt idx="5">
                  <c:v>3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8D2-4C74-A144-48547A6E798E}"/>
            </c:ext>
          </c:extLst>
        </c:ser>
        <c:ser>
          <c:idx val="3"/>
          <c:order val="3"/>
          <c:tx>
            <c:strRef>
              <c:f>'[Премии диаграмма_111.xlsx]Лист4'!$E$1</c:f>
              <c:strCache>
                <c:ptCount val="1"/>
                <c:pt idx="0">
                  <c:v>Премии СПбО РАН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'[Премии диаграмма_111.xlsx]Лист4'!$A$2:$A$9</c:f>
              <c:strCache>
                <c:ptCount val="8"/>
                <c:pt idx="0">
                  <c:v>1)    Финансирование</c:v>
                </c:pt>
                <c:pt idx="1">
                  <c:v>2)    Академический статус (престиж)</c:v>
                </c:pt>
                <c:pt idx="2">
                  <c:v>3)    Охват (от региона до мира)</c:v>
                </c:pt>
                <c:pt idx="3">
                  <c:v>4)    Селективность (сложность победить)</c:v>
                </c:pt>
                <c:pt idx="4">
                  <c:v>5)    Вектор действия (1 - заслуги, 5 - старт)</c:v>
                </c:pt>
                <c:pt idx="5">
                  <c:v>6)    Административный порог (сложность документов)</c:v>
                </c:pt>
                <c:pt idx="6">
                  <c:v>7)    Медийная узнаваемость</c:v>
                </c:pt>
                <c:pt idx="7">
                  <c:v>8)    Социальная валидация</c:v>
                </c:pt>
              </c:strCache>
            </c:strRef>
          </c:cat>
          <c:val>
            <c:numRef>
              <c:f>'[Премии диаграмма_111.xlsx]Лист4'!$E$2:$E$9</c:f>
              <c:numCache>
                <c:formatCode>General</c:formatCode>
                <c:ptCount val="8"/>
                <c:pt idx="0">
                  <c:v>1</c:v>
                </c:pt>
                <c:pt idx="1">
                  <c:v>4</c:v>
                </c:pt>
                <c:pt idx="2">
                  <c:v>1</c:v>
                </c:pt>
                <c:pt idx="3">
                  <c:v>4</c:v>
                </c:pt>
                <c:pt idx="4">
                  <c:v>2</c:v>
                </c:pt>
                <c:pt idx="5">
                  <c:v>3</c:v>
                </c:pt>
                <c:pt idx="6">
                  <c:v>1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8D2-4C74-A144-48547A6E79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5559040"/>
        <c:axId val="100836864"/>
      </c:radarChart>
      <c:catAx>
        <c:axId val="95559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836864"/>
        <c:crosses val="autoZero"/>
        <c:auto val="1"/>
        <c:lblAlgn val="ctr"/>
        <c:lblOffset val="100"/>
        <c:noMultiLvlLbl val="0"/>
      </c:catAx>
      <c:valAx>
        <c:axId val="10083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5559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13</Pages>
  <Words>5457</Words>
  <Characters>31111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Вероника Васильевна Ермакович</cp:lastModifiedBy>
  <cp:revision>75</cp:revision>
  <dcterms:created xsi:type="dcterms:W3CDTF">2026-06-01T12:37:00Z</dcterms:created>
  <dcterms:modified xsi:type="dcterms:W3CDTF">2026-07-07T09:17:00Z</dcterms:modified>
</cp:coreProperties>
</file>