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ind w:firstLine="0"/>
      </w:pPr>
      <w:r>
        <w:rPr>
          <w:b/>
        </w:rPr>
        <w:t>МИНИСТЕРСТВО НАУКИ И ВЫСШЕГО ОБРАЗОВАНИЯ РОССИЙСКОЙ ФЕДЕРАЦИИ</w:t>
      </w:r>
    </w:p>
    <w:p>
      <w:pPr>
        <w:jc w:val="center"/>
        <w:ind w:firstLine="0"/>
      </w:pPr>
      <w:r>
        <w:rPr>
          <w:b/>
        </w:rPr>
        <w:t>ФЕДЕРАЛЬНОЕ ГОСУДАРСТВЕННОЕ БЮДЖЕТНОЕ ОБРАЗОВАТЕЛЬНОЕ УЧРЕЖДЕНИЕ ВЫСШЕГО ОБРАЗОВАНИЯ «МОСКОВСКИЙ АВИАЦИОННЫЙ ИНСТИТУТ (национальный исследовательский университет)»</w:t>
      </w:r>
    </w:p>
    <w:p>
      <w:pPr>
        <w:jc w:val="center"/>
        <w:ind w:firstLine="0"/>
      </w:pPr>
      <w:r>
        <w:rPr/>
        <w:t>Институт (Филиал) № 8 «Компьютерные науки и прикладная математика» Кафедра 806</w:t>
      </w:r>
    </w:p>
    <w:p>
      <w:pPr>
        <w:jc w:val="center"/>
        <w:ind w:firstLine="0"/>
      </w:pPr>
      <w:r>
        <w:rPr/>
        <w:t>Группа М8О-206СВ-24    Направление подготовки 02.04.02 Фундаментальная информатика и информационные технологии</w:t>
      </w:r>
    </w:p>
    <w:p>
      <w:pPr>
        <w:jc w:val="center"/>
        <w:ind w:firstLine="0"/>
      </w:pPr>
      <w:r>
        <w:rPr/>
        <w:t>Профиль Информатика</w:t>
      </w:r>
    </w:p>
    <w:p>
      <w:pPr>
        <w:jc w:val="center"/>
        <w:ind w:firstLine="0"/>
      </w:pPr>
      <w:r>
        <w:rPr/>
        <w:t>Квалификация: магистр</w:t>
      </w:r>
    </w:p>
    <w:p>
      <w:pPr>
        <w:jc w:val="center"/>
        <w:ind w:firstLine="0"/>
      </w:pPr>
      <w:r>
        <w:rPr>
          <w:b/>
        </w:rPr>
        <w:t>ВЫПУСКНАЯ КВАЛИФИКАЦИОННАЯ РАБОТА МАГИСТРА</w:t>
      </w:r>
    </w:p>
    <w:p>
      <w:pPr>
        <w:jc w:val="center"/>
        <w:ind w:firstLine="0"/>
      </w:pPr>
      <w:r>
        <w:rPr/>
        <w:t>на тему: «Система автоматизированного обогащения товарных данных для интернет-магазина»</w:t>
      </w:r>
    </w:p>
    <w:p>
      <w:pPr>
        <w:jc w:val="center"/>
        <w:ind w:firstLine="0"/>
      </w:pPr>
      <w:r>
        <w:rPr/>
        <w:t>Автор ВКРМ: Фролов Михаил Александрович (</w:t>
      </w:r>
      <w:r>
        <w:rPr/>
        <w:t>________________</w:t>
      </w:r>
      <w:r>
        <w:rPr/>
        <w:t>)</w:t>
      </w:r>
    </w:p>
    <w:p>
      <w:pPr>
        <w:jc w:val="center"/>
        <w:ind w:firstLine="0"/>
      </w:pPr>
      <w:r>
        <w:rPr/>
        <w:t>Руководитель: Судаков Владимир Анатольевич (</w:t>
      </w:r>
      <w:r>
        <w:rPr/>
        <w:t>________________</w:t>
      </w:r>
      <w:r>
        <w:rPr/>
        <w:t>)</w:t>
      </w:r>
    </w:p>
    <w:p>
      <w:pPr>
        <w:jc w:val="center"/>
        <w:ind w:firstLine="0"/>
      </w:pPr>
      <w:r>
        <w:rPr/>
        <w:t>К защите допустить</w:t>
      </w:r>
    </w:p>
    <w:p>
      <w:pPr>
        <w:jc w:val="center"/>
        <w:ind w:firstLine="0"/>
      </w:pPr>
      <w:r>
        <w:rPr/>
        <w:t>Заведующий кафедрой № 806 «Вычислительная математика и программирование» Крылов Сергей Сергеевич (</w:t>
      </w:r>
      <w:r>
        <w:rPr/>
        <w:t>________________</w:t>
      </w:r>
      <w:r>
        <w:rPr/>
        <w:t>)</w:t>
      </w:r>
    </w:p>
    <w:p>
      <w:pPr>
        <w:jc w:val="center"/>
        <w:ind w:firstLine="0"/>
      </w:pPr>
      <w:r>
        <w:rPr/>
        <w:t>«</w:t>
      </w:r>
      <w:r>
        <w:rPr/>
        <w:t>____</w:t>
      </w:r>
      <w:r>
        <w:rPr/>
        <w:t xml:space="preserve">» </w:t>
      </w:r>
      <w:r>
        <w:rPr/>
        <w:t>______________</w:t>
      </w:r>
      <w:r>
        <w:rPr/>
        <w:t xml:space="preserve"> 2026 года</w:t>
      </w:r>
    </w:p>
    <w:p>
      <w:pPr>
        <w:jc w:val="center"/>
        <w:ind w:firstLine="0"/>
      </w:pPr>
      <w:r>
        <w:rPr/>
        <w:t>Москва 2026</w:t>
      </w:r>
    </w:p>
    <w:p>
      <w:r>
        <w:br w:type="page"/>
      </w:r>
    </w:p>
    <w:p>
      <w:pPr>
        <w:pStyle w:val="Heading1"/>
      </w:pPr>
      <w:r>
        <w:rPr>
          <w:rFonts w:ascii="Times New Roman" w:hAnsi="Times New Roman"/>
          <w:color w:val="000000"/>
        </w:rPr>
        <w:t>Реферат</w:t>
      </w:r>
    </w:p>
    <w:p>
      <w:r>
        <w:rPr>
          <w:b/>
        </w:rPr>
        <w:t>Объём работы.</w:t>
      </w:r>
      <w:r>
        <w:t xml:space="preserve"> 91 страниц основной части, 4 главы, ≈18 рисунков, ≈21 таблица, 46 источников (10 российских и 36 зарубежных), 6 приложений.</w:t>
      </w:r>
    </w:p>
    <w:p>
      <w:r>
        <w:rPr>
          <w:b/>
        </w:rPr>
        <w:t>Ключевые слова.</w:t>
      </w:r>
      <w:r>
        <w:t xml:space="preserve"> ОБОГАЩЕНИЕ ТОВАРНЫХ ДАННЫХ, КАСКАДНАЯ АРХИТЕКТУРА, СЛАБЫЙ НАДЗОР, OPEN FOOD FACTS, БАЙЕСОВСКАЯ СЕТЬ, БОЛЬШАЯ ЯЗЫКОВАЯ МОДЕЛЬ, КАЛИБРОВКА, ИЗВЛЕЧЕНИЕ ПРИЗНАКОВ, ДОМИНИРОВАНИЕ ПО ПАРЕТО, АУДИТ-ЦИКЛ, ВЕКТОРНЫЕ ПРЕДСТАВЛЕНИЯ.</w:t>
      </w:r>
    </w:p>
    <w:p>
      <w:r>
        <w:rPr>
          <w:b/>
        </w:rPr>
        <w:t>Объект исследования.</w:t>
      </w:r>
      <w:r>
        <w:t xml:space="preserve"> Процесс автоматизированного обогащения товарных каталогов интернет-магазинов с использованием открытых источников данных.</w:t>
      </w:r>
    </w:p>
    <w:p>
      <w:r>
        <w:rPr>
          <w:b/>
        </w:rPr>
        <w:t>Предмет исследования.</w:t>
      </w:r>
      <w:r>
        <w:t xml:space="preserve"> Гибридная каскадная архитектура с ансамблевой оценкой уверенности классификаторов и адаптивным обращением к большой языковой модели как запасному слою.</w:t>
      </w:r>
    </w:p>
    <w:p>
      <w:r>
        <w:rPr>
          <w:b/>
        </w:rPr>
        <w:t>Цель работы.</w:t>
      </w:r>
      <w:r>
        <w:t xml:space="preserve"> Разработать гибридную каскадную систему автоматизированного обогащения товарных данных для интернет-магазина, обеспечивающую высокую точность извлечения категориальных атрибутов при сокращённой стоимости обращения к большой языковой модели и поддерживающую развёртывание на открытых моделях.</w:t>
      </w:r>
    </w:p>
    <w:p>
      <w:r>
        <w:rPr>
          <w:b/>
        </w:rPr>
        <w:t>Методы.</w:t>
      </w:r>
      <w:r>
        <w:t xml:space="preserve"> Многоязычные векторные представления текста на базе модели paraphrase-multilingual-MiniLM-L12-v2 (SBERT, поддержка 50+ языков), классификатор XGBoost с регуляризацией и поатрибутными порогами уверенности, байесовская сеть со структурой, найденной алгоритмом Hill Climb по критерию BIC (библиотека pgmpy), доверительные интервалы с кластеризацией по брендам через ресэмплированный бутстрэп, бакетирование числовых нутри-полей, согласие трёх независимых больших языковых моделей (Sonnet 4.5 + GPT-4o + Gemini 2.5 Flash) для построения эталонной разметки на текстово-семантических атрибутах, слепая верификация моделью Claude Opus 4, разбиение на обучающую и тестовую части без пересечения брендов, предзарегистрированная проверка гипотезы с поправкой Бонферрони на множественные сравнения.</w:t>
      </w:r>
    </w:p>
    <w:p>
      <w:r>
        <w:rPr>
          <w:b/>
        </w:rPr>
        <w:t>Результаты.</w:t>
      </w:r>
      <w:r>
        <w:t xml:space="preserve"> Реализована и эмпирически проверена гибридная каскадная архитектура из пяти слоёв (категорайзер Слой 0 — регулярные выражения — классификатор XGBoost на векторных представлениях SBERT — байесовский валидатор плотностей — запасной слой большой языковой модели) на трёх продуктовых категориях открытого каталога Open Food Facts (паста, шоколад, сыры). На тестовой выборке без пересечения брендов размером 4350 ячеек по 22 парам «категория-атрибут» итоговая конфигурация достигает 92,8 % сквозной точности при обращении к большой языковой модели на 3,3 % ячеек в режиме «каскад + gemini-flash»; при развёртывании на собственных мощностях с открытой моделью gpt-oss-120b — 92,3 % точности, что на 23,0 п. п. выше прямого использования gpt-oss-120b (69,3 %). Каскад без запасного слоя самостоятельно покрывает 96,7 % ячеек со средней точностью 90,5 %. Достигнуто доминирование по Парето разработанной системы над прямым использованием большой языковой модели по двум осям одновременно — точности и стоимости (+9,0 п. п. точности и сокращение стоимости в 720 раз относительно прямого использования Claude Sonnet 4.5). Предзарегистрированная гипотеза о превосходстве обучаемого стоимостно-чувствительного маршрутизатора над статическим правилом отклонена после поправки Бонферрони на трёх бюджетах. Реализован замкнутый цикл «аудит — правки экстрактора — переобучение — измерение» с кросс-доменной репликацией 3 из 3. Разработана демонстрационная система из трёх компонентов (шлюз API на Go, ML-сервис на Python/FastAPI, веб-интерфейс), реализующая стабильный контракт REST API.</w:t>
      </w:r>
    </w:p>
    <w:p>
      <w:r>
        <w:rPr>
          <w:b/>
        </w:rPr>
        <w:t>Использование результатов.</w:t>
      </w:r>
      <w:r>
        <w:t xml:space="preserve"> Разработанная архитектура применима в системах управления товарной информацией (PIM-системах) интернет-магазинов. Внедрение системы позволяет: повысить полноту автоматического заполнения карточек товаров до 92,8 %, сократить стоимость обработки в 720 раз по сравнению с прямым использованием Claude Sonnet 4.5, сократить ручную нагрузку оператора каталога в 10–20 раз за счёт перевода в режим выборочной верификации, обеспечить развёртывание на собственных мощностях без отправки партнёрских данных во внешние API больших языковых моделей.</w:t>
      </w:r>
    </w:p>
    <w:p>
      <w:pPr>
        <w:pStyle w:val="Heading1"/>
      </w:pPr>
      <w:r>
        <w:rPr>
          <w:rFonts w:ascii="Times New Roman" w:hAnsi="Times New Roman"/>
          <w:color w:val="000000"/>
        </w:rPr>
        <w:t>Определения, обозначения и сокращения</w:t>
      </w:r>
    </w:p>
    <w:p>
      <w:r>
        <w:t>В настоящей выпускной квалификационной работе применяются следующие термины с соответствующими определениями.</w:t>
      </w:r>
    </w:p>
    <w:p>
      <w:r>
        <w:rPr>
          <w:b/>
        </w:rPr>
        <w:t>Серебряная разметка</w:t>
      </w:r>
      <w:r>
        <w:t xml:space="preserve"> (в литературе по слабому надзору также silver) — набор пар «товар — целевое значение атрибута», полученный автоматически из открытых источников данных (теги Open Food Facts) и используемый для обучения моделей. Серебряная разметка содержит шум и неполноту и противопоставляется эталонной разметке.</w:t>
      </w:r>
    </w:p>
    <w:p>
      <w:r>
        <w:rPr>
          <w:b/>
        </w:rPr>
        <w:t>Эталонная разметка</w:t>
      </w:r>
      <w:r>
        <w:t xml:space="preserve"> (в литературе также gold) — пары «товар — целевое значение», прошедшие верификацию (согласованным мнением нескольких языковых моделей и/или слепой разметкой более сильной языковой модели); используется как опорная истина при оценке каскада.</w:t>
      </w:r>
    </w:p>
    <w:p>
      <w:r>
        <w:rPr>
          <w:b/>
        </w:rPr>
        <w:t>Слабый надзор</w:t>
      </w:r>
      <w:r>
        <w:t xml:space="preserve"> — режим обучения с использованием неполной или зашумлённой разметки, формируемой автоматически из доступных источников вместо ручной разметки экспертом.</w:t>
      </w:r>
    </w:p>
    <w:p>
      <w:r>
        <w:rPr>
          <w:b/>
        </w:rPr>
        <w:t>Каскадная архитектура</w:t>
      </w:r>
      <w:r>
        <w:t xml:space="preserve"> — последовательность алгоритмических слоёв, каждый из которых обрабатывает только те объекты или атрибуты, которые не были закрыты предыдущими слоями с заданной уверенностью.</w:t>
      </w:r>
    </w:p>
    <w:p>
      <w:r>
        <w:rPr>
          <w:b/>
        </w:rPr>
        <w:t>Многоуровневая фильтрация по уверенности</w:t>
      </w:r>
      <w:r>
        <w:t xml:space="preserve"> — формализация поведения каскада как последовательного конъюнктивного условия на прохождение калиброванных порогов уверенности на каждом слое. Реализует требование утверждённой темы об «ансамблевой оценке уверенности моделей».</w:t>
      </w:r>
    </w:p>
    <w:p>
      <w:r>
        <w:rPr>
          <w:b/>
        </w:rPr>
        <w:t>Покрытие</w:t>
      </w:r>
      <w:r>
        <w:t xml:space="preserve"> — доля ячеек «товар, атрибут» в тестовой выборке, для которых каскад дал предсказание выше порога уверенности на слоях 1-3 (без обращения к запасному слою).</w:t>
      </w:r>
    </w:p>
    <w:p>
      <w:r>
        <w:rPr>
          <w:b/>
        </w:rPr>
        <w:t>Точность на покрытом срезе</w:t>
      </w:r>
      <w:r>
        <w:t xml:space="preserve"> — доля верных предсказаний среди тех ячеек, для которых каскад дал ответ без обращения к запасному слою.</w:t>
      </w:r>
    </w:p>
    <w:p>
      <w:r>
        <w:rPr>
          <w:b/>
        </w:rPr>
        <w:t>Сквозная точность</w:t>
      </w:r>
      <w:r>
        <w:t xml:space="preserve"> — точность системы на полной тестовой выборке, при которой отказы каскада засчитываются как неверные ответы (либо заменяются ответом запасного слоя при включённом Слой 4).</w:t>
      </w:r>
    </w:p>
    <w:p>
      <w:r>
        <w:rPr>
          <w:b/>
        </w:rPr>
        <w:t>Разбиение без пересечения брендов</w:t>
      </w:r>
      <w:r>
        <w:t xml:space="preserve"> — построение разбиения выборки на обучающую, валидационную и тестовую части, при котором один бренд попадает ровно в одну из трёх частей. Исключает утечку признака «бренд — атрибут» при оценке качества системы.</w:t>
      </w:r>
    </w:p>
    <w:p>
      <w:r>
        <w:rPr>
          <w:b/>
        </w:rPr>
        <w:t>Цикл «аудит — правки — переобучение — измерение»</w:t>
      </w:r>
      <w:r>
        <w:t xml:space="preserve"> — методологический приём улучшения системы, при котором обнаружение конкретных дефектов эталонной разметки через аудит приводит к правкам экстрактора, затем к переобучению моделей и измерению прироста точности на той же аудит-выборке.</w:t>
      </w:r>
    </w:p>
    <w:p>
      <w:r>
        <w:rPr>
          <w:b/>
        </w:rPr>
        <w:t>OFF</w:t>
      </w:r>
      <w:r>
        <w:t xml:space="preserve"> — Open Food Facts, открытый краудсорсинговый каталог продовольственных товаров под лицензией ODbL.</w:t>
      </w:r>
    </w:p>
    <w:p>
      <w:r>
        <w:rPr>
          <w:b/>
        </w:rPr>
        <w:t>SBERT</w:t>
      </w:r>
      <w:r>
        <w:t xml:space="preserve"> — Sentence-BERT, многоязычная модель векторного представления предложений (используется paraphrase-multilingual-MiniLM-L12-v2).</w:t>
      </w:r>
    </w:p>
    <w:p>
      <w:r>
        <w:rPr>
          <w:b/>
        </w:rPr>
        <w:t>XGBoost</w:t>
      </w:r>
      <w:r>
        <w:t xml:space="preserve"> — Extreme Gradient Boosting, библиотека градиентного бустинга деревьев решений.</w:t>
      </w:r>
    </w:p>
    <w:p>
      <w:r>
        <w:rPr>
          <w:b/>
        </w:rPr>
        <w:t>ECE</w:t>
      </w:r>
      <w:r>
        <w:t xml:space="preserve"> — Expected Calibration Error, ожидаемая ошибка калибровки вероятностей классификатора.</w:t>
      </w:r>
    </w:p>
    <w:p>
      <w:r>
        <w:rPr>
          <w:b/>
        </w:rPr>
        <w:t>CPD/DAG</w:t>
      </w:r>
      <w:r>
        <w:t xml:space="preserve"> — Conditional Probability Distribution / Directed Acyclic Graph, элементы байесовской сети.</w:t>
      </w:r>
    </w:p>
    <w:p>
      <w:r>
        <w:rPr>
          <w:b/>
        </w:rPr>
        <w:t>BIC</w:t>
      </w:r>
      <w:r>
        <w:t xml:space="preserve"> — Bayesian Information Criterion, критерий выбора структуры байесовской сети.</w:t>
      </w:r>
    </w:p>
    <w:p>
      <w:r>
        <w:rPr>
          <w:b/>
        </w:rPr>
        <w:t>PDO/AOP</w:t>
      </w:r>
      <w:r>
        <w:t xml:space="preserve"> — Protected Designation of Origin / Appellation d'Origine Protégée, защищённое наименование товара.</w:t>
      </w:r>
    </w:p>
    <w:p>
      <w:pPr>
        <w:pStyle w:val="Heading1"/>
      </w:pPr>
      <w:r>
        <w:rPr>
          <w:rFonts w:ascii="Times New Roman" w:hAnsi="Times New Roman"/>
          <w:color w:val="000000"/>
        </w:rPr>
        <w:t>Введение</w:t>
      </w:r>
    </w:p>
    <w:p>
      <w:pPr>
        <w:pStyle w:val="Heading2"/>
      </w:pPr>
      <w:r>
        <w:rPr>
          <w:rFonts w:ascii="Times New Roman" w:hAnsi="Times New Roman"/>
          <w:color w:val="000000"/>
        </w:rPr>
        <w:t>Актуальность темы исследования</w:t>
      </w:r>
    </w:p>
    <w:p>
      <w:r>
        <w:t xml:space="preserve">Электронная коммерция продолжает устойчиво расти. Годовой объём российского сегмента в 2025 году составил 11,5 трлн руб. </w:t>
      </w:r>
      <w:r>
        <w:t>[</w:t>
      </w:r>
      <w:r>
        <w:t xml:space="preserve">1], мировой рынок также показывает уверенный рост </w:t>
      </w:r>
      <w:r>
        <w:t>[</w:t>
      </w:r>
      <w:r>
        <w:t xml:space="preserve">2]. Каталоги крупных интернет-магазинов исчисляются десятками миллионов товарных позиций: только индексируемая часть каталога Ozon в открытых аналитических базах превышает 38 млн позиций </w:t>
      </w:r>
      <w:r>
        <w:t>[</w:t>
      </w:r>
      <w:r>
        <w:t>3]. Ежедневно к ним добавляются тысячи новых записей от партнёров-поставщиков.</w:t>
      </w:r>
    </w:p>
    <w:p>
      <w:r>
        <w:t xml:space="preserve">Карточка товара становится центральным элементом цифровой витрины. От её содержательной полноты зависят работа фасетного поиска, релевантность ранжирования и рекомендаций, корректность аналитики и в конечном счёте конверсия в покупки. Структура партнёрского ввода при этом неоднородна: от одного наименования и бренда до расширенного набора полей с фотографиями и иноязычным составом. Образующиеся пробелы исторически закрывают контент-менеджеры вручную, проверяя и дополняя десятки целевых атрибутов на каждую карточку. При характерных масштабах каталога в миллионы позиций и тысячах новых записей в сутки такой подход не масштабируется ни по затратам, ни по доступности языковых компетенций </w:t>
      </w:r>
      <w:r>
        <w:t>[</w:t>
      </w:r>
      <w:r>
        <w:t>4].</w:t>
      </w:r>
    </w:p>
    <w:p>
      <w:r>
        <w:t xml:space="preserve">Класс систем управления товарной информацией Product Information Management — Akeneo, Pimcore, Salsify и аналогичные — сложился из потребности хранить уже сформированную товарную информацию </w:t>
      </w:r>
      <w:r>
        <w:t>[</w:t>
      </w:r>
      <w:r>
        <w:t xml:space="preserve">5, 6, 7]. Задачу извлечения этой информации из неструктурированного партнёрского ввода такие системы систематически не решают. Появляющиеся в них модули автоматического обогащения в большинстве случаев представляют собой обёртку над одной публичной большой языковой моделью, вызываемой напрямую на каждый товар. Подробное сопоставление приведено в 1.2.3. Такой вызов экономически приемлем лишь для каталогов небольшого и среднего размера и не сопровождается гарантиями фактической корректности. На числовых полях большие языковые модели систематически допускают фактические ошибки (3.3.2.5). Рост ставок коммерческих API, ужесточение требований к локализации данных и отраслевой тренд на открытые модели в локальном развёртывании </w:t>
      </w:r>
      <w:r>
        <w:t>[</w:t>
      </w:r>
      <w:r>
        <w:t>8] дополнительно усиливают запрос на архитектурные решения, которые не сводятся к прямому вызову одной модели.</w:t>
      </w:r>
    </w:p>
    <w:p>
      <w:r>
        <w:t>Из изложенного следует противоречие, которое и определяет актуальность работы. С одной стороны, автоматизация наполнения карточек — инженерная необходимость. С другой стороны, ни одна изолированная технология не покрывает все типы целевых атрибутов с приемлемой точностью и стоимостью одновременно. Правила надёжны на числовых атрибутах, но мало покрывают семантически нагруженные поля. Классические классификаторы требуют значительной размеченной выборки. Большие языковые модели универсальны, однако дороги и подвержены фактическим ошибкам, особенно на числовых полях.</w:t>
      </w:r>
    </w:p>
    <w:p>
      <w:r>
        <w:t>В качестве разрешения этого противоречия в работе рассматривается гибридная каскадная архитектура. Она представляет собой композицию последовательных слоёв, в которой каждый следующий слой подключается только к остатку, не закрытому предыдущими с заданной уверенностью. Такая композиция объединяет семантические возможности генеративных моделей с предсказательной силой классического машинного обучения и автоматической фильтрацией недостоверных значений. Этим определяется актуальность работы с научной стороны как систематическая проверка эффективности гибридного каскада. С практической стороны актуальность задаётся созданием производственно-применимого комплекса с контролируемой стоимостью и возможностью локального развёртывания.</w:t>
      </w:r>
    </w:p>
    <w:p>
      <w:pPr>
        <w:pStyle w:val="Heading2"/>
      </w:pPr>
      <w:r>
        <w:rPr>
          <w:rFonts w:ascii="Times New Roman" w:hAnsi="Times New Roman"/>
          <w:color w:val="000000"/>
        </w:rPr>
        <w:t>Цель работы</w:t>
      </w:r>
    </w:p>
    <w:p>
      <w:r>
        <w:t>Целью работы является разработка гибридной каскадной системы автоматизированного обогащения товарных данных интернет-магазина. Система должна обеспечивать высокую точность извлечения категориальных атрибутов при сокращённой стоимости обращения к большой языковой модели, поддерживать локальное развёртывание на открытых моделях и доминировать по Парето над прямым вызовом большой языковой модели одновременно по точности и стоимости.</w:t>
      </w:r>
    </w:p>
    <w:p>
      <w:pPr>
        <w:pStyle w:val="Heading2"/>
      </w:pPr>
      <w:r>
        <w:rPr>
          <w:rFonts w:ascii="Times New Roman" w:hAnsi="Times New Roman"/>
          <w:color w:val="000000"/>
        </w:rPr>
        <w:t>Задачи работы</w:t>
      </w:r>
    </w:p>
    <w:p>
      <w:r>
        <w:t>Для достижения поставленной цели сформулированы и решены следующие пять задач:</w:t>
      </w:r>
    </w:p>
    <w:p>
      <w:pPr>
        <w:pStyle w:val="BodyText"/>
        <w:spacing w:before="20" w:after="20"/>
      </w:pPr>
      <w:r>
        <w:t xml:space="preserve">1. разработать архитектуру гибридного каскадного конвейера обработки товарных данных с многоуровневой фильтрацией по уверенности и явным разделением слоёв. Слои каскада: предкаскадный категорайзер, экстрактор регулярных выражений, классификатор машинного обучения на векторных представлениях, байесовский валидатор плотностей, запасной слой большой языковой модели. Многоуровневая фильтрация формализует требование утверждённой темы об ансамблевой оценке уверенности моделей как последовательное конъюнктивное условие на калиброванные пороги слоёв;</w:t>
      </w:r>
    </w:p>
    <w:p>
      <w:pPr>
        <w:pStyle w:val="BodyText"/>
        <w:spacing w:before="20" w:after="20"/>
      </w:pPr>
      <w:r>
        <w:t xml:space="preserve">2. реализовать каждый слой каскада в виде самостоятельного программного компонента: экстрактор регулярных выражений; классификатор машинного обучения, обучаемый на многоязычных векторных представлениях партнёр-доступных полей; байесовский валидатор, использующий обученную сеть атрибутов в роли фильтра статистически невероятных пар «бренд × значение»; запасной слой на основе большой языковой модели с поддержкой нескольких поставщиков, включая открытые модели для локального развёртывания;</w:t>
      </w:r>
    </w:p>
    <w:p>
      <w:pPr>
        <w:pStyle w:val="BodyText"/>
        <w:spacing w:before="20" w:after="20"/>
      </w:pPr>
      <w:r>
        <w:t xml:space="preserve">3. построить эталонную разметку и проверочную выборку без пересечения брендов для оценки качества системы на трёх категориях товаров: паста, шоколад, сыры. Разметка сочетает слабый надзор от тегов открытого каталога, поатрибутное согласие трёх независимых больших языковых моделей и слепую разметку референсной моделью. Разбиение на обучающую, валидационную и тестовую части выполняется без повторного появления одних и тех же брендов;</w:t>
      </w:r>
    </w:p>
    <w:p>
      <w:pPr>
        <w:pStyle w:val="BodyText"/>
        <w:spacing w:before="20" w:after="20"/>
      </w:pPr>
      <w:r>
        <w:t xml:space="preserve">4. провести экспериментальную оценку разработанной системы. Необходимо измерить точность сквозного прохождения каскада, поатрибутное покрытие и стоимость обработки на эталонной тестовой выборке; сопоставить полученные показатели с показателями прямого использования большой языковой модели; оценить вклад каждого слоя каскада, устойчивость к смещению по языкам входных данных и поведение байесовского валидатора как селективного сигнала на отбраковку фактических ошибок;</w:t>
      </w:r>
    </w:p>
    <w:p>
      <w:pPr>
        <w:pStyle w:val="BodyText"/>
        <w:spacing w:before="20" w:after="20"/>
      </w:pPr>
      <w:r>
        <w:t xml:space="preserve">5. разработать демонстрационный программный комплекс. Комплекс должен обеспечивать взаимодействие оператора каталога с каскадом через веб-интерфейс и стабильный программный интерфейс. Поддерживаются три производственных сценария развёртывания: с премиум-коммерческой большой языковой моделью, с бюджетной коммерческой языковой моделью и с открытой языковой моделью в локальном развёртывании.</w:t>
      </w:r>
    </w:p>
    <w:p>
      <w:r>
        <w:t>Каждой задаче соответствует измеримый результат, который изложен в подразделе «Новизна и основные результаты».</w:t>
      </w:r>
    </w:p>
    <w:p>
      <w:pPr>
        <w:pStyle w:val="Heading2"/>
      </w:pPr>
      <w:r>
        <w:rPr>
          <w:rFonts w:ascii="Times New Roman" w:hAnsi="Times New Roman"/>
          <w:color w:val="000000"/>
        </w:rPr>
        <w:t>Объект и предмет исследования</w:t>
      </w:r>
    </w:p>
    <w:p>
      <w:r>
        <w:rPr>
          <w:b/>
        </w:rPr>
        <w:t>Объектом исследования</w:t>
      </w:r>
      <w:r>
        <w:t xml:space="preserve"> является процесс автоматизированного обогащения товарных каталогов интернет-магазинов на основе открытых источников данных. На входе процесса имеется минимальный набор партнёр-доступных полей, на выходе требуется получить структурированный набор целевых атрибутов.</w:t>
      </w:r>
    </w:p>
    <w:p>
      <w:r>
        <w:rPr>
          <w:b/>
        </w:rPr>
        <w:t>Предметом исследования</w:t>
      </w:r>
      <w:r>
        <w:t xml:space="preserve"> является гибридная каскадная архитектура обработки товарных данных с ансамблевой оценкой уверенности классификаторов и адаптивным селективным обращением к большой языковой модели в роли запасного слоя. Рассматриваются её точность, стоимостные характеристики, устойчивость к смещению входного распределения, а также вычислительные и эксплуатационные свойства, существенные для производственного применения.</w:t>
      </w:r>
    </w:p>
    <w:p>
      <w:pPr>
        <w:pStyle w:val="Heading2"/>
      </w:pPr>
      <w:r>
        <w:rPr>
          <w:rFonts w:ascii="Times New Roman" w:hAnsi="Times New Roman"/>
          <w:color w:val="000000"/>
        </w:rPr>
        <w:t>Теоретические и методические основы работы</w:t>
      </w:r>
    </w:p>
    <w:p>
      <w:r>
        <w:t>Работа основывается на следующих методах и инструментах:</w:t>
      </w:r>
    </w:p>
    <w:p>
      <w:r>
        <w:t>извлечение признаков из неструктурированного текста выполняется регулярными выражениями и многоязычным энкодером paraphrase-multilingual-MiniLM-L12-v2;</w:t>
      </w:r>
    </w:p>
    <w:p>
      <w:r>
        <w:t>классификатор уровня машинного обучения — градиентный бустинг XGBoost поверх полученных векторных представлений;</w:t>
      </w:r>
    </w:p>
    <w:p>
      <w:r>
        <w:t>валидатор атрибутов реализован вероятностной графической моделью средствами библиотеки pgmpy; структура сети обучается алгоритмом Hill Climb по критерию BIC;</w:t>
      </w:r>
    </w:p>
    <w:p>
      <w:r>
        <w:t>обучающая выборка формируется методом слабого надзора по тегам открытого каталога Open Food Facts;</w:t>
      </w:r>
    </w:p>
    <w:p>
      <w:r>
        <w:t>эталонная разметка строится сочетанием детерминированных правил для нутриентно-производных атрибутов, регуляторных тегов и поатрибутного согласия трёх независимых больших языковых моделей со слепой проверкой референсной моделью; процедура подробно описана в 3.2.3;</w:t>
      </w:r>
    </w:p>
    <w:p>
      <w:r>
        <w:t>оценка качества выполняется на отложенной выборке без пересечения брендов; доверительные интервалы получены кластерным бутстрэпом с ресэмплированием брендов;</w:t>
      </w:r>
    </w:p>
    <w:p>
      <w:r>
        <w:t>проверка гипотез о превосходстве каскада над одиночной языковой моделью выполняется по заранее зафиксированному протоколу с поправкой Бонферрони на множественные сравнения.</w:t>
      </w:r>
    </w:p>
    <w:p>
      <w:r>
        <w:t xml:space="preserve">Архитектурный подход к выбору модели по соотношению цена/качество опирается на работы L. Chen и соавторов FrugalGPT </w:t>
      </w:r>
      <w:r>
        <w:t>[</w:t>
      </w:r>
      <w:r>
        <w:t xml:space="preserve">9], P. Aggarwal и соавторов AutoMix </w:t>
      </w:r>
      <w:r>
        <w:t>[</w:t>
      </w:r>
      <w:r>
        <w:t xml:space="preserve">10], D. Ding и соавторов Hybrid LLM </w:t>
      </w:r>
      <w:r>
        <w:t>[</w:t>
      </w:r>
      <w:r>
        <w:t xml:space="preserve">11], а также на бенчмарк Q. J. Hu и соавторов RouterBench </w:t>
      </w:r>
      <w:r>
        <w:t>[</w:t>
      </w:r>
      <w:r>
        <w:t>12]. Оформление работы выполнено в соответствии с ГОСТ 7.32-2018, библиографическое описание источников — с ГОСТ 7.1-2003.</w:t>
      </w:r>
    </w:p>
    <w:p>
      <w:pPr>
        <w:pStyle w:val="Heading2"/>
      </w:pPr>
      <w:r>
        <w:rPr>
          <w:rFonts w:ascii="Times New Roman" w:hAnsi="Times New Roman"/>
          <w:color w:val="000000"/>
        </w:rPr>
        <w:t>Новизна и основные результаты</w:t>
      </w:r>
    </w:p>
    <w:p>
      <w:r>
        <w:t>Каждой из сформулированных выше задач в работе соответствует не менее одного измеримого результата.</w:t>
      </w:r>
    </w:p>
    <w:p>
      <w:r>
        <w:rPr>
          <w:b/>
        </w:rPr>
        <w:t>По задаче 1</w:t>
      </w:r>
      <w:r>
        <w:t xml:space="preserve"> — проектирование архитектуры каскада, разделы 2.1, 3.1.1. Спроектирован гибридный каскад из пяти последовательных слоёв с конъюнктивным условием на калиброванные пороги уверенности каждого слоя. Разработанная формальная постановка задачи допускает явный отказ системы от ответа и явное определение слоя-источника каждого предсказания.</w:t>
      </w:r>
    </w:p>
    <w:p>
      <w:r>
        <w:rPr>
          <w:b/>
        </w:rPr>
        <w:t>По задаче 2</w:t>
      </w:r>
      <w:r>
        <w:t xml:space="preserve"> — реализация слоёв, раздел 3.1.2. Каскад реализован в виде набора независимо обновляемых программных компонентов. Разработана демонстрационная система в трёхкомпонентной архитектуре «шлюз API на языке Go — ML-сервис на Python/FastAPI — статический веб-интерфейс». Система запускается одной командой и проходит проверку готовности всех слоёв через диагностический интерфейс.</w:t>
      </w:r>
    </w:p>
    <w:p>
      <w:r>
        <w:rPr>
          <w:b/>
        </w:rPr>
        <w:t>По задаче 3</w:t>
      </w:r>
      <w:r>
        <w:t xml:space="preserve"> — построение эталонной разметки, раздел 3.2. Построена многоисточниковая эталонная разметка для трёх категорий товаров на основе тегов открытого каталога, нутриентно-производных правил, поатрибутного согласия трёх независимых больших языковых моделей и слепой разметки референсной моделью. Разбиение на обучающую, валидационную и тестовую части выполнено без пересечения брендов.</w:t>
      </w:r>
    </w:p>
    <w:p>
      <w:r>
        <w:rPr>
          <w:b/>
        </w:rPr>
        <w:t>По задаче 4</w:t>
      </w:r>
      <w:r>
        <w:t xml:space="preserve"> — экспериментальная оценка, разделы 3.3.2, 3.3.3, 3.3.4, 3.3.7. Получена сквозная точность 92,8 % на тестовой выборке без пересечения брендов из 4350 ячеек при 720-кратном сокращении стоимости относительно прямого вызова коммерческой референсной модели. Доминирование каскада по Парето над прямым использованием большой языковой модели подтверждено на пяти моделях запасного слоя. Вклад каждого слоя количественно охарактеризован, в том числе селективный вклад байесовского валидатора. Каскад без запасного слоя самостоятельно покрывает 96,7 % ячеек со средней точностью 90,5 %.</w:t>
      </w:r>
    </w:p>
    <w:p>
      <w:r>
        <w:rPr>
          <w:b/>
        </w:rPr>
        <w:t>По задаче 5</w:t>
      </w:r>
      <w:r>
        <w:t xml:space="preserve"> — разработка демонстрационного программного комплекса, разделы 4.1, 4.2. Реализована поддержка трёх производственных сценариев развёртывания: премиум-коммерческий, бюджетный коммерческий, локальный с открытой моделью. Поддерживаются три роли пользователей: контент-менеджер, системный аналитик, инженер машинного обучения.</w:t>
      </w:r>
    </w:p>
    <w:p>
      <w:r>
        <w:t>На основании совокупности полученных результатов сформулированы три пункта научной новизны.</w:t>
      </w:r>
    </w:p>
    <w:p>
      <w:r>
        <w:rPr>
          <w:b/>
        </w:rPr>
        <w:t>Первый пункт научной новизны.</w:t>
      </w:r>
      <w:r>
        <w:t xml:space="preserve"> Доказано доминирование разработанной гибридной каскадной системы по Парето над прямым использованием большой языковой модели на задаче обогащения товарных каталогов. На тестовой выборке без пересечения брендов размером 4350 ячеек одновременно достигаются превышение точности на 9,0 процентного пункта (92,8 % против 83,8 %) и сокращение стоимости обработки в 720 раз. Компромисса между точностью и стоимостью не возникает.</w:t>
      </w:r>
    </w:p>
    <w:p>
      <w:r>
        <w:rPr>
          <w:b/>
        </w:rPr>
        <w:t>Второй пункт научной новизны.</w:t>
      </w:r>
      <w:r>
        <w:t xml:space="preserve"> Эмпирически установлено, что в сценарии локального развёртывания с открытой большой языковой моделью gpt-oss-120b в роли запасного слоя каскад компенсирует ограниченные возможности малой открытой модели на сложных атрибутах за счёт специализированного слоя машинного обучения. Прирост сквозной точности составляет 23,0 процентного пункта над прямым использованием той же открытой модели при тридцатикратном сокращении стоимости. Это позволяет говорить об архитектурной независимости решения от конкретного поставщика большой языковой модели.</w:t>
      </w:r>
    </w:p>
    <w:p>
      <w:r>
        <w:rPr>
          <w:b/>
        </w:rPr>
        <w:t>Третий пункт научной новизны.</w:t>
      </w:r>
      <w:r>
        <w:t xml:space="preserve"> Впервые на задаче обогащения товарных каталогов по заранее зафиксированной процедуре с поправкой Бонферрони на множественные сравнения количественно установлено, что статическое per-(категория, атрибут) правило маршрутизации не уступает обучаемому маршрутизатору с учётом стоимости по сквозной точности при равных бюджетах вызовов запасного слоя. Полученный результат уточняет применимость подхода обучаемой маршрутизации к рассматриваемому классу задач и согласуется с выводами бенчмарка RouterBench </w:t>
      </w:r>
      <w:r>
        <w:t>[</w:t>
      </w:r>
      <w:r>
        <w:t>12]. Кроме того, в работе разработан и кросс-доменно реплицирован замкнутый цикл «аудит эталонной разметки — корректировка экстрактора признаков — переобучение моделей — повторное измерение». Цикл воспроизведён на трёх категориях товаров из трёх с приростом сквозной точности на подвыборке аудированных проблемных ячеек +18,2, +16,3 и +14,4 процентного пункта для пасты, шоколада и сыров соответственно.</w:t>
      </w:r>
    </w:p>
    <w:p>
      <w:pPr>
        <w:pStyle w:val="Heading2"/>
      </w:pPr>
      <w:r>
        <w:rPr>
          <w:rFonts w:ascii="Times New Roman" w:hAnsi="Times New Roman"/>
          <w:color w:val="000000"/>
        </w:rPr>
        <w:t>Апробация и внедрение результатов</w:t>
      </w:r>
    </w:p>
    <w:p>
      <w:r>
        <w:t xml:space="preserve">Апробация разработанной системы выполнена в виде демонстрационного программного комплекса. Комплекс запускается одной командой и проверяется на работоспособность через диагностический программный интерфейс. Демонстрация подтверждает, что все слои каскада функционируют на трёх предметных категориях: паста, шоколад, сыры. Также проверены три сценария обращения к запасному слою: коммерческая, бюджетная и открытая большая языковая модель. Воспроизводимость численных показателей обеспечена сценарием </w:t>
      </w:r>
      <w:r>
        <w:rPr>
          <w:rFonts w:ascii="Consolas" w:hAnsi="Consolas"/>
          <w:sz w:val="18"/>
          <w:shd w:fill="F5F5F5" w:val="clear"/>
        </w:rPr>
        <w:t>reproduce.sh</w:t>
      </w:r>
      <w:r>
        <w:t>, который регенерирует основные результаты из артефактов в каталоге datasets/processed/ репозитория. Разработанный комплекс представлен как самостоятельный демонстрационный артефакт, готовый к интеграции в производственный цикл интернет-магазина без перестройки соседних звеньев процесса обогащения каталога (4.2.1).</w:t>
      </w:r>
    </w:p>
    <w:p>
      <w:pPr>
        <w:pStyle w:val="Heading2"/>
      </w:pPr>
      <w:r>
        <w:rPr>
          <w:rFonts w:ascii="Times New Roman" w:hAnsi="Times New Roman"/>
          <w:color w:val="000000"/>
        </w:rPr>
        <w:t>Структура и объём работы</w:t>
      </w:r>
    </w:p>
    <w:p>
      <w:r>
        <w:t>Выпускная квалификационная работа состоит из введения, четырёх глав, заключения, списка использованных источников и приложений. Список использованных источников включает 46 наименований: 10 российских источников, индексируемых в РИНЦ, и 36 зарубежных публикаций, отраслевых отчётов и стандартов.</w:t>
      </w:r>
    </w:p>
    <w:p>
      <w:r>
        <w:t>Первая глава содержит обоснование актуальности темы, литературный обзор по трём направлениям и техническое задание на разрабатываемую систему. Вторая глава посвящена теоретическому обоснованию решения. В ней приводятся формальная постановка задачи, обоснование архитектуры и стека технологий, а также сценарии прохождения запроса через каскад. Третья глава содержит описание программной реализации, использованных данных и доказательство работоспособности каскада на эталонной тестовой выборке без пересечения брендов. Четвёртая глава представляет порядок применения системы, сценарии её развёртывания и характеристику достигнутых результатов в формате «повышено / ускорено / сокращено». В заключении собраны выводы по главам, научная новизна и перспективы развития темы.</w:t>
      </w:r>
    </w:p>
    <w:p>
      <w:pPr>
        <w:pStyle w:val="Heading1"/>
      </w:pPr>
      <w:r>
        <w:rPr>
          <w:rFonts w:ascii="Times New Roman" w:hAnsi="Times New Roman"/>
          <w:color w:val="000000"/>
        </w:rPr>
        <w:t>Глава 1. Развёрнутая актуальность темы</w:t>
      </w:r>
    </w:p>
    <w:p>
      <w:r>
        <w:t>В главе обосновывается тема работы, систематизируются существующие подходы к автоматическому обогащению товарных данных и формулируется техническое задание на разрабатываемую систему.</w:t>
      </w:r>
    </w:p>
    <w:p>
      <w:pPr>
        <w:pStyle w:val="Heading2"/>
      </w:pPr>
      <w:r>
        <w:rPr>
          <w:rFonts w:ascii="Times New Roman" w:hAnsi="Times New Roman"/>
          <w:color w:val="000000"/>
        </w:rPr>
        <w:t>1.1 Проблема обогащения товарных каталогов интернет-магазина</w:t>
      </w:r>
    </w:p>
    <w:p>
      <w:pPr>
        <w:pStyle w:val="Heading3"/>
      </w:pPr>
      <w:r>
        <w:rPr>
          <w:rFonts w:ascii="Times New Roman" w:hAnsi="Times New Roman"/>
          <w:color w:val="000000"/>
        </w:rPr>
        <w:t>1.1.1 Электронная коммерция и роль товарных данных</w:t>
      </w:r>
    </w:p>
    <w:p>
      <w:r>
        <w:t xml:space="preserve">Рынок электронной коммерции устойчиво растёт: годовой оборот российского сегмента в 2025 году — 11,5 трлн руб. </w:t>
      </w:r>
      <w:r>
        <w:t>[</w:t>
      </w:r>
      <w:r>
        <w:t xml:space="preserve">1], мировой рынок продолжает расширяться </w:t>
      </w:r>
      <w:r>
        <w:t>[</w:t>
      </w:r>
      <w:r>
        <w:t xml:space="preserve">2]. Каталоги крупных площадок насчитывают десятки миллионов позиций (индексируемая часть Ozon — &gt; 38 млн </w:t>
      </w:r>
      <w:r>
        <w:t>[</w:t>
      </w:r>
      <w:r>
        <w:t>3]); ежедневно добавляются тысячи новых артикулов от партнёров.</w:t>
      </w:r>
    </w:p>
    <w:p>
      <w:r>
        <w:t>Карточка товара — центральный элемент цифровой витрины: от её атрибутов (тип, состав, габариты, маркировки качества, страна происхождения, предупреждения) зависит фасетный поиск, релевантность ранжирования, аналитика и конверсия. При неполном заполнении цепочка «партнёрский фид — каталог — редактура — витрина» прерывается во втором звене: товар либо попадает на витрину неполным (страдает конверсия), либо задерживается на ручную доработку (растут операционные затраты).</w:t>
      </w:r>
    </w:p>
    <w:p>
      <w:pPr>
        <w:jc w:val="left"/>
      </w:pPr>
      <w:r>
        <w:drawing>
          <wp:inline xmlns:a="http://schemas.openxmlformats.org/drawingml/2006/main" xmlns:pic="http://schemas.openxmlformats.org/drawingml/2006/picture">
            <wp:extent cx="5733288" cy="3035880"/>
            <wp:docPr id="1" name="Picture 1"/>
            <wp:cNvGraphicFramePr>
              <a:graphicFrameLocks noChangeAspect="1"/>
            </wp:cNvGraphicFramePr>
            <a:graphic>
              <a:graphicData uri="http://schemas.openxmlformats.org/drawingml/2006/picture">
                <pic:pic>
                  <pic:nvPicPr>
                    <pic:cNvPr id="0" name="pim_role_context.png"/>
                    <pic:cNvPicPr/>
                  </pic:nvPicPr>
                  <pic:blipFill>
                    <a:blip r:embed="rId9"/>
                    <a:stretch>
                      <a:fillRect/>
                    </a:stretch>
                  </pic:blipFill>
                  <pic:spPr>
                    <a:xfrm>
                      <a:off x="0" y="0"/>
                      <a:ext cx="5733288" cy="3035880"/>
                    </a:xfrm>
                    <a:prstGeom prst="rect"/>
                  </pic:spPr>
                </pic:pic>
              </a:graphicData>
            </a:graphic>
          </wp:inline>
        </w:drawing>
      </w:r>
    </w:p>
    <w:p>
      <w:pPr>
        <w:jc w:val="left"/>
        <w:ind w:firstLine="0"/>
      </w:pPr>
      <w:r>
        <w:t>Рисунок 1.1 — Место системы автоматизированного обогащения в инфраструктуре интернет-магазина</w:t>
      </w:r>
    </w:p>
    <w:p>
      <w:pPr>
        <w:pStyle w:val="Heading3"/>
      </w:pPr>
      <w:r>
        <w:rPr>
          <w:rFonts w:ascii="Times New Roman" w:hAnsi="Times New Roman"/>
          <w:color w:val="000000"/>
        </w:rPr>
        <w:t>1.1.2 Неоднородность партнёрского ввода</w:t>
      </w:r>
    </w:p>
    <w:p>
      <w:r>
        <w:t xml:space="preserve">Партнёрские данные принципиально неоднородны: для одного товара поставщик передаёт только название и бренд, для другого — расширенный набор полей с фотографиями, для третьего — состав на иностранном языке, для четвёртого доступен только штрихкод. Анализ Open Food Facts </w:t>
      </w:r>
      <w:r>
        <w:t>[</w:t>
      </w:r>
      <w:r>
        <w:t>13] показывает, что заполненность нутри-полей систематически ниже базовых.</w:t>
      </w:r>
    </w:p>
    <w:p>
      <w:r>
        <w:t xml:space="preserve">Пробелы исторически закрываются контент-менеджерами вручную: на каждую карточку — десятки атрибутов. При каталоге в миллионы позиций и тысячах новых записей в сутки такой путь экономически неприемлем </w:t>
      </w:r>
      <w:r>
        <w:t>[</w:t>
      </w:r>
      <w:r>
        <w:t>4]. Дополнительно ручной труд плохо масштабируется по языкам: команда, работающая с RU/EN, теряет качество на FR, DE, IT, ES — особенно в категориях импортной пищевой продукции.</w:t>
      </w:r>
    </w:p>
    <w:p>
      <w:pPr>
        <w:pStyle w:val="Heading3"/>
      </w:pPr>
      <w:r>
        <w:rPr>
          <w:rFonts w:ascii="Times New Roman" w:hAnsi="Times New Roman"/>
          <w:color w:val="000000"/>
        </w:rPr>
        <w:t>1.1.3 Эффекты неполной карточки на пользовательский опыт</w:t>
      </w:r>
    </w:p>
    <w:p>
      <w:r>
        <w:t>Неполная карточка даёт три независимых воздействия: (1) снижается качество фасетного поиска (товар выпадает из подборок при применении фильтров — например, упаковка пасты без формы или типа зерна); (2) растут возвраты и негативная обратная связь, особенно по атрибутам правового или диетического значения (органика, глютен, аллергены); (3) растёт нагрузка на модерацию — «брошенная» карточка удлиняет цикл выхода товара на витрину или порождает повторные правки.</w:t>
      </w:r>
    </w:p>
    <w:p>
      <w:pPr>
        <w:pStyle w:val="Heading3"/>
      </w:pPr>
      <w:r>
        <w:rPr>
          <w:rFonts w:ascii="Times New Roman" w:hAnsi="Times New Roman"/>
          <w:color w:val="000000"/>
        </w:rPr>
        <w:t>1.1.4 Существующие системы управления товарной информацией не решают задачу</w:t>
      </w:r>
    </w:p>
    <w:p>
      <w:r>
        <w:t xml:space="preserve">Класс PIM-систем (Akeneo, Pimcore, Salsify, Riversand, inRiver </w:t>
      </w:r>
      <w:r>
        <w:t>[</w:t>
      </w:r>
      <w:r>
        <w:t>5, 6, 7]) сложился из корпоративной потребности хранить и публиковать товарную информацию в едином каталоге. Их функциональность сосредоточена на управлении уже сформированной информацией, не на её извлечении. Появляющиеся модули автоматического обогащения — обёртки над одной публичной LLM с прямым вызовом на каждый товар, экономически приемлемые лишь для каталогов небольшого и среднего размера и не дающие гарантий корректности. Альтернатива в виде агрегаторов готовых описаний задачу извлечения атрибутов из произвольного партнёрского текста не решает и ограничена крупными брендами.</w:t>
      </w:r>
    </w:p>
    <w:p>
      <w:pPr>
        <w:pStyle w:val="Heading3"/>
      </w:pPr>
      <w:r>
        <w:rPr>
          <w:rFonts w:ascii="Times New Roman" w:hAnsi="Times New Roman"/>
          <w:color w:val="000000"/>
        </w:rPr>
        <w:t>1.1.5 Противоречие и постановка задачи</w:t>
      </w:r>
    </w:p>
    <w:p>
      <w:r>
        <w:t xml:space="preserve">Изложенное определяет противоречие в основе актуальности: автоматизация наполнения — инженерная необходимость, но ни одна отдельная технология не покрывает все типы целевых атрибутов с приемлемой точностью и стоимостью. Правила надёжны на числовых атрибутах, но дают низкое покрытие на семантически нагруженных полях. Классические классификаторы требуют значительной разметки и плохо переносятся между языками. LLM универсальны, но дороги </w:t>
      </w:r>
      <w:r>
        <w:t>[</w:t>
      </w:r>
      <w:r>
        <w:t>9] и систематически ошибаются на числовых полях, требующих агрегирования из текста (эмпирическая характеристика — 3.3.2.5).</w:t>
      </w:r>
    </w:p>
    <w:p>
      <w:r>
        <w:t>Из противоречия вытекает рабочая архитектурная гипотеза: каскадная композиция слоёв, в которой каждый следующий слой подключается только к остатку, не закрытому предыдущими с заданной уверенностью, способна совместить преимущества отдельных технологий. Проверка этой гипотезы — содержательное ядро работы.</w:t>
      </w:r>
    </w:p>
    <w:p>
      <w:pPr>
        <w:pStyle w:val="Heading2"/>
      </w:pPr>
      <w:r>
        <w:rPr>
          <w:rFonts w:ascii="Times New Roman" w:hAnsi="Times New Roman"/>
          <w:color w:val="000000"/>
        </w:rPr>
        <w:t>1.2 Литературный обзор</w:t>
      </w:r>
    </w:p>
    <w:p>
      <w:r>
        <w:t>В разделе систематизируется научный и индустриальный задел по трём направлениям, которые образуют основу разрабатываемой системы:</w:t>
      </w:r>
    </w:p>
    <w:p>
      <w:r>
        <w:t>извлечение признаков из текстовых описаний товаров;</w:t>
      </w:r>
    </w:p>
    <w:p>
      <w:r>
        <w:t>каскады больших языковых моделей с учётом стоимости вызовов;</w:t>
      </w:r>
    </w:p>
    <w:p>
      <w:r>
        <w:t>существующие промышленные системы управления товарной информацией.</w:t>
      </w:r>
    </w:p>
    <w:p>
      <w:pPr>
        <w:pStyle w:val="Heading3"/>
      </w:pPr>
      <w:r>
        <w:rPr>
          <w:rFonts w:ascii="Times New Roman" w:hAnsi="Times New Roman"/>
          <w:color w:val="000000"/>
        </w:rPr>
        <w:t>1.2.1 Извлечение признаков из текстовых описаний товаров</w:t>
      </w:r>
    </w:p>
    <w:p>
      <w:r>
        <w:t>Задача восполнения пропущенных атрибутов рассматривается как частный случай извлечения признаков из неструктурированного текста (information extraction, IE). Подходы делятся на три группы — формальные правила, классические статистические модели и нейросетевые модели на трансформерах — и их сочетание образует основу каскадных архитектур.</w:t>
      </w:r>
    </w:p>
    <w:p>
      <w:r>
        <w:t>Правила и регулярные выражения. Формальные шаблоны надёжно извлекают атрибуты с устойчивой лексической разметкой (% жира, масса нетто, время приготовления, минимальный возраст) при околонулевой стоимости и встроенной интерпретируемости; ограничены низким покрытием на семантически нагруженных полях (тип крупы, форма пасты, маркировка органики).</w:t>
      </w:r>
    </w:p>
    <w:p>
      <w:r>
        <w:t xml:space="preserve">Статистические модели над поверхностными признаками. Классификаторы поверх TF-IDF и градиентный бустинг (XGBoost </w:t>
      </w:r>
      <w:r>
        <w:t>[</w:t>
      </w:r>
      <w:r>
        <w:t xml:space="preserve">14], LightGBM </w:t>
      </w:r>
      <w:r>
        <w:t>[</w:t>
      </w:r>
      <w:r>
        <w:t xml:space="preserve">15]) работают при достаточной выборке и одноязычном входе. Применение ML к классификации в электронной коммерции рассмотрено Г. И. Афанасьевым и соавторами </w:t>
      </w:r>
      <w:r>
        <w:t>[</w:t>
      </w:r>
      <w:r>
        <w:t>16]. Слабая переносимость на многоязычные тексты и отсутствие учёта семантики ограничивают применимость.</w:t>
      </w:r>
    </w:p>
    <w:p>
      <w:r>
        <w:t xml:space="preserve">Векторные представления на основе трансформеров. Архитектура трансформера </w:t>
      </w:r>
      <w:r>
        <w:t>[</w:t>
      </w:r>
      <w:r>
        <w:t xml:space="preserve">17] и BERT </w:t>
      </w:r>
      <w:r>
        <w:t>[</w:t>
      </w:r>
      <w:r>
        <w:t xml:space="preserve">18] подняли качество IE. Sentence-BERT </w:t>
      </w:r>
      <w:r>
        <w:t>[</w:t>
      </w:r>
      <w:r>
        <w:t xml:space="preserve">19] и многоязычные дистиллированные варианты </w:t>
      </w:r>
      <w:r>
        <w:t>[</w:t>
      </w:r>
      <w:r>
        <w:t xml:space="preserve">20] дают фиксированные представления предложений, поверх которых ставится произвольный классификатор. Категоризация и извлечение признаков из товарных каталогов рассмотрены А. Г. Колониным </w:t>
      </w:r>
      <w:r>
        <w:t>[</w:t>
      </w:r>
      <w:r>
        <w:t xml:space="preserve">21]; систематическое изложение NLP и IE — в учебнике Е. И. Большаковой и соавторов </w:t>
      </w:r>
      <w:r>
        <w:t>[</w:t>
      </w:r>
      <w:r>
        <w:t>22].</w:t>
      </w:r>
    </w:p>
    <w:p>
      <w:r>
        <w:t>Специализированные системы извлечения атрибутов товаров. В индустриальной литературе выделяются три эталонные системы:</w:t>
      </w:r>
    </w:p>
    <w:p>
      <w:pPr>
        <w:pStyle w:val="ListBullet"/>
        <w:spacing w:before="20" w:after="20"/>
      </w:pPr>
      <w:r>
        <w:t xml:space="preserve">TXtract </w:t>
      </w:r>
      <w:r>
        <w:t>[</w:t>
      </w:r>
      <w:r>
        <w:t>23] (Karamanolakis et al., ACL 2020, Amazon) — многозадачный нейронный кодировщик с условием на таксономию категорий, обеспечивающий извлечение атрибутов в крупных каталогах при значительном дисбалансе классов;</w:t>
      </w:r>
    </w:p>
    <w:p>
      <w:pPr>
        <w:pStyle w:val="ListBullet"/>
        <w:spacing w:before="20" w:after="20"/>
      </w:pPr>
      <w:r>
        <w:t xml:space="preserve">MAVE </w:t>
      </w:r>
      <w:r>
        <w:t>[</w:t>
      </w:r>
      <w:r>
        <w:t>24] (Yang et al., WSDM 2022, Google) — многоисточниковый кодировщик на основе BERT с кросс-вниманием, использующий не только наименование, но и описание, спецификации и другие текстовые поля карточки;</w:t>
      </w:r>
    </w:p>
    <w:p>
      <w:pPr>
        <w:pStyle w:val="ListBullet"/>
        <w:spacing w:before="20" w:after="20"/>
      </w:pPr>
      <w:r>
        <w:t xml:space="preserve">OpenTag </w:t>
      </w:r>
      <w:r>
        <w:t>[</w:t>
      </w:r>
      <w:r>
        <w:t>25] (Zheng et al., KDD 2018) — двунаправленная рекуррентная архитектура BiLSTM-CRF с механизмом внимания, формулирующая задачу извлечения атрибутов как задачу разметки последовательности.</w:t>
      </w:r>
    </w:p>
    <w:p>
      <w:r>
        <w:t>Эти системы дают 85–92 % F1 на специализированных корпусах. Сопоставление с каскадными архитектурами, привлекающими LLM в роли запасного слоя, в открытой литературе систематически не представлено: специализированные системы и LLM-каскады трактуются как раздельные направления. Настоящая работа частично закрывает этот пробел.</w:t>
      </w:r>
    </w:p>
    <w:p>
      <w:pPr>
        <w:pStyle w:val="Heading3"/>
      </w:pPr>
      <w:r>
        <w:rPr>
          <w:rFonts w:ascii="Times New Roman" w:hAnsi="Times New Roman"/>
          <w:color w:val="000000"/>
        </w:rPr>
        <w:t>1.2.2 Стоимостно-чувствительные каскады больших языковых моделей</w:t>
      </w:r>
    </w:p>
    <w:p>
      <w:r>
        <w:t>С появлением спектра LLM разной мощности оформилась подобласть cost-aware LLM routing — направление каждого запроса к минимально достаточной модели без потери качества.</w:t>
      </w:r>
    </w:p>
    <w:p>
      <w:r>
        <w:t xml:space="preserve">FrugalGPT. L. Chen, M. Zaharia и J. Zou </w:t>
      </w:r>
      <w:r>
        <w:t>[</w:t>
      </w:r>
      <w:r>
        <w:t>9] предложили каскадную композицию LLM по возрастанию стоимости с прерыванием на первом уверенном ответе: каскад из 3–4 моделей с откалиброванной уверенностью даёт то же качество, что прямой вызов самой дорогой, при стоимости на порядок ниже. Настоящая работа опирается на идеи последовательного прерывания и калибровки.</w:t>
      </w:r>
    </w:p>
    <w:p>
      <w:r>
        <w:t xml:space="preserve">AutoMix. P. Aggarwal, A. Madaan и соавторы </w:t>
      </w:r>
      <w:r>
        <w:t>[</w:t>
      </w:r>
      <w:r>
        <w:t>10] основываются на самопроверке ответа малой моделью с делегированием к большой при сомнении. Разрабатываемая система, наоборот, разносит роли валидатора и предсказателя в раздельные слои.</w:t>
      </w:r>
    </w:p>
    <w:p>
      <w:r>
        <w:t xml:space="preserve">Hybrid LLM. D. Ding, A. Mallick и соавторы </w:t>
      </w:r>
      <w:r>
        <w:t>[</w:t>
      </w:r>
      <w:r>
        <w:t>11] рассматривают маршрутизацию между моделью на пограничном устройстве и облачной — постановка прямо соответствует сценарию «локально развёрнутая gpt-oss-120b + коммерческое API как запасной слой».</w:t>
      </w:r>
    </w:p>
    <w:p>
      <w:r>
        <w:t xml:space="preserve">RouterBench. Q. J. Hu, J. Bieker и соавторы </w:t>
      </w:r>
      <w:r>
        <w:t>[</w:t>
      </w:r>
      <w:r>
        <w:t>12] показали, что обучаемые маршрутизаторы не доминируют над простыми политиками при локализованной структуре ошибок. На задаче обогащения каталогов в настоящей работе впервые по предзарегистрированному протоколу установлено, что статическое per-(категория, атрибут) правило не уступает обучаемому маршрутизатору по сквозной точности при равном бюджете запасного слоя.</w:t>
      </w:r>
    </w:p>
    <w:p>
      <w:pPr>
        <w:pStyle w:val="Heading3"/>
      </w:pPr>
      <w:r>
        <w:rPr>
          <w:rFonts w:ascii="Times New Roman" w:hAnsi="Times New Roman"/>
          <w:color w:val="000000"/>
        </w:rPr>
        <w:t>1.2.3 Существующие промышленные PIM-системы и анализ аналогов</w:t>
      </w:r>
    </w:p>
    <w:p>
      <w:r>
        <w:t xml:space="preserve">Для позиционирования разработки относительно индустриальных аналогов отобраны три коммерческие PIM-системы: Akeneo, Pimcore и Salsify. По ним построена сравнительная таблица по семи функциональным критериям, существенным для задачи автоматического обогащения каталога (таблица 1.1). Источниками послужила документация вендоров </w:t>
      </w:r>
      <w:r>
        <w:t>[</w:t>
      </w:r>
      <w:r>
        <w:t>5, 6, 7].</w:t>
      </w:r>
    </w:p>
    <w:p>
      <w:pPr>
        <w:jc w:val="left"/>
        <w:ind w:firstLine="0"/>
      </w:pPr>
      <w:r>
        <w:t>Таблица 1.1 — Сравнение существующих PIM-систем и разрабатываемой системы</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rPr>
          <w:tblHeader/>
        </w:trPr>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Критерий</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Akeneo</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Pimcore</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Salsify</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Разрабатываемая система</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1</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Централизованное хранение каталога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 входит в задачу</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2</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Распределение по каналам сбыта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 входит в задачу</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3</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Автоматическое обогащение атрибутов</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 (только ручная редактура)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частично (правила обогащения)</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 (есть AI Suite как обёртка над сторонней LLM)</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 (каскадная архитектура)</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4</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Извлечение признаков из неструктурированного текста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 (слои ML и LLM)</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5</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Поддержка многоязычного входа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через ручные переводы</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через ручные переводы</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через ручные переводы</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встроенная (многоязычные эмбеддинги, 50+ языков)</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6</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Открытый исходный код</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community-редакция</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 (включая возможность локального развёртывания LLM)</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7</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Стоимостно-чувствительная обработка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 (каскадная композиция с доминированием по Парето по стоимости и качеству)</w:t>
            </w:r>
          </w:p>
        </w:tc>
      </w:tr>
    </w:tbl>
    <w:p/>
    <w:p>
      <w:r>
        <w:t>Из таблицы 1.1 следует, что коммерческие PIM-системы хорошо покрывают хранение, версионирование и распределение уже сформированной информации. Однако они систематически не решают задачи извлечения атрибутов из произвольного партнёрского текста. Появляющаяся функция автоматического обогащения реализуется как обёртка над сторонней языковой моделью. Таким образом, ни одно из проанализированных решений не закрывает одновременно весь набор критериев интернет-магазина: автоматическое обогащение, многоязычную обработку, контролируемую стоимость и возможность локального развёртывания. Это обосновывает целесообразность разработки самостоятельной системы.</w:t>
      </w:r>
    </w:p>
    <w:p>
      <w:pPr>
        <w:pStyle w:val="Heading3"/>
      </w:pPr>
      <w:r>
        <w:rPr>
          <w:rFonts w:ascii="Times New Roman" w:hAnsi="Times New Roman"/>
          <w:color w:val="000000"/>
        </w:rPr>
        <w:t>1.2.4 Слабый надзор, калибровка и сопутствующая методология</w:t>
      </w:r>
    </w:p>
    <w:p>
      <w:r>
        <w:t xml:space="preserve">Принципиальная сложность задачи — отсутствие достаточной ручной разметки; постановка известна как weak supervision, инструментарий систематизирован A. Ratner и соавторами «Snorkel» </w:t>
      </w:r>
      <w:r>
        <w:t>[</w:t>
      </w:r>
      <w:r>
        <w:t xml:space="preserve">26]. Пригодным источником слабого эталона выступает Open Food Facts </w:t>
      </w:r>
      <w:r>
        <w:t>[</w:t>
      </w:r>
      <w:r>
        <w:t>13] — открытая база &gt;4,5 млн пищевых продуктов с пользовательскими тегами.</w:t>
      </w:r>
    </w:p>
    <w:p>
      <w:r>
        <w:t xml:space="preserve">Для корректной работы каскада выходы классификаторов должны быть откалиброваны: масштабирование Платта </w:t>
      </w:r>
      <w:r>
        <w:t>[</w:t>
      </w:r>
      <w:r>
        <w:t xml:space="preserve">27], изотоническая регрессия </w:t>
      </w:r>
      <w:r>
        <w:t>[</w:t>
      </w:r>
      <w:r>
        <w:t xml:space="preserve">28]; современный анализ ECE для глубоких моделей — C. Guo и соавторы </w:t>
      </w:r>
      <w:r>
        <w:t>[</w:t>
      </w:r>
      <w:r>
        <w:t xml:space="preserve">29]. Оценка точности при ограниченной выборке — кросс-валидация и бутстрэп </w:t>
      </w:r>
      <w:r>
        <w:t>[</w:t>
      </w:r>
      <w:r>
        <w:t xml:space="preserve">30]; интервальная оценка пропорций — формула Вильсона </w:t>
      </w:r>
      <w:r>
        <w:t>[</w:t>
      </w:r>
      <w:r>
        <w:t>31].</w:t>
      </w:r>
    </w:p>
    <w:p>
      <w:r>
        <w:t xml:space="preserve">Аппарат байесовских сетей опирается на J. Pearl </w:t>
      </w:r>
      <w:r>
        <w:t>[</w:t>
      </w:r>
      <w:r>
        <w:t xml:space="preserve">32], D. Heckerman et al. </w:t>
      </w:r>
      <w:r>
        <w:t>[</w:t>
      </w:r>
      <w:r>
        <w:t xml:space="preserve">33], А. Л. Тулупьева и соавторов </w:t>
      </w:r>
      <w:r>
        <w:t>[</w:t>
      </w:r>
      <w:r>
        <w:t xml:space="preserve">34], библиотеку pgmpy </w:t>
      </w:r>
      <w:r>
        <w:t>[</w:t>
      </w:r>
      <w:r>
        <w:t xml:space="preserve">35]; поиск структуры — Hill Climb + BIC </w:t>
      </w:r>
      <w:r>
        <w:t>[</w:t>
      </w:r>
      <w:r>
        <w:t xml:space="preserve">36]. Прикладные вопросы устойчивости ML-моделей к дрейфу в розничных каталогах рассмотрены А. А. Артемовым </w:t>
      </w:r>
      <w:r>
        <w:t>[</w:t>
      </w:r>
      <w:r>
        <w:t xml:space="preserve">37]; ограниченная масштабируемость стандартных подходов к управлению ассортиментом на маркетплейсах — С. А. Сергеев </w:t>
      </w:r>
      <w:r>
        <w:t>[</w:t>
      </w:r>
      <w:r>
        <w:t xml:space="preserve">38]; активное обучение и краудсорсинг — Р. А. Гилязев и Д. Ю. Турдаков </w:t>
      </w:r>
      <w:r>
        <w:t>[</w:t>
      </w:r>
      <w:r>
        <w:t xml:space="preserve">39]; ранние работы по семантическим пространствам — В. Ф. Хорошевский </w:t>
      </w:r>
      <w:r>
        <w:t>[</w:t>
      </w:r>
      <w:r>
        <w:t>40].</w:t>
      </w:r>
    </w:p>
    <w:p>
      <w:pPr>
        <w:pStyle w:val="Heading2"/>
      </w:pPr>
      <w:r>
        <w:rPr>
          <w:rFonts w:ascii="Times New Roman" w:hAnsi="Times New Roman"/>
          <w:color w:val="000000"/>
        </w:rPr>
        <w:t>1.3 Техническое задание на разрабатываемую систему</w:t>
      </w:r>
    </w:p>
    <w:p>
      <w:r>
        <w:t>В разделе формулируется техническое задание на разрабатываемую систему. Оно подразделяется на три группы требований: функциональные (что система должна делать), нефункциональные (с какими характеристиками) и архитектурные (каким способом она организована).</w:t>
      </w:r>
    </w:p>
    <w:p>
      <w:pPr>
        <w:pStyle w:val="Heading3"/>
      </w:pPr>
      <w:r>
        <w:rPr>
          <w:rFonts w:ascii="Times New Roman" w:hAnsi="Times New Roman"/>
          <w:color w:val="000000"/>
        </w:rPr>
        <w:t>1.3.1 Функциональные требования</w:t>
      </w:r>
    </w:p>
    <w:p>
      <w:r>
        <w:rPr>
          <w:b/>
        </w:rPr>
        <w:t>Ф-1. Принимаемый формат входных данных.</w:t>
      </w:r>
      <w:r>
        <w:t xml:space="preserve"> Система принимает на входе товар, описанный полями партнёра-поставщика:</w:t>
      </w:r>
    </w:p>
    <w:p>
      <w:r>
        <w:t>наименование (product_name);</w:t>
      </w:r>
    </w:p>
    <w:p>
      <w:r>
        <w:t>бренд (brands);</w:t>
      </w:r>
    </w:p>
    <w:p>
      <w:r>
        <w:t>список ингредиентов в произвольной форме (ingredients_text);</w:t>
      </w:r>
    </w:p>
    <w:p>
      <w:r>
        <w:t>масса, объём или упаковка (quantity);</w:t>
      </w:r>
    </w:p>
    <w:p>
      <w:r>
        <w:t>идентификатор категории (category), опционально.</w:t>
      </w:r>
    </w:p>
    <w:p>
      <w:r>
        <w:t>Все поля, кроме наименования, считаются необязательными.</w:t>
      </w:r>
    </w:p>
    <w:p>
      <w:r>
        <w:rPr>
          <w:b/>
        </w:rPr>
        <w:t>Ф-2. Возврат заполненных значений целевых атрибутов.</w:t>
      </w:r>
      <w:r>
        <w:t xml:space="preserve"> Система возвращает для каждого целевого атрибута предсказанное значение, оценку уверенности и идентификатор слоя каскада, на котором принято финальное решение. Тем самым обеспечивается отслеживаемость источника каждого предсказания и возможность ручной верификации контент-менеджером.</w:t>
      </w:r>
    </w:p>
    <w:p>
      <w:r>
        <w:rPr>
          <w:b/>
        </w:rPr>
        <w:t>Ф-3. Покрытие предметных категорий.</w:t>
      </w:r>
      <w:r>
        <w:t xml:space="preserve"> В пределах работы система поддерживает заполнение целевых атрибутов для трёх категорий пищевой продукции: паста, шоколад и шоколадные изделия, сыры. Выбор именно этих трёх категорий обоснован тремя причинами. Во-первых, в Open Food Facts по ним имеется достаточный объём обучающих данных. Во-вторых, доступен аудит-эталон с согласием трёх больших языковых моделей и слепой разметкой Opus. В-третьих, сами категории репрезентативны с точки зрения распределения типов целевых атрибутов: числовых, бинарных и мультиклассовых семантических.</w:t>
      </w:r>
    </w:p>
    <w:p>
      <w:r>
        <w:rPr>
          <w:b/>
        </w:rPr>
        <w:t>Ф-4. Автоматическое определение категории.</w:t>
      </w:r>
      <w:r>
        <w:t xml:space="preserve"> Если категория явно не указана, система определяет её автоматически по поступившему текстовому описанию товара. Эта функция реализуется отдельным предкаскадным слоем (Слой 0).</w:t>
      </w:r>
    </w:p>
    <w:p>
      <w:r>
        <w:rPr>
          <w:b/>
        </w:rPr>
        <w:t>Ф-5. Запасной слой на основе большой языковой модели.</w:t>
      </w:r>
      <w:r>
        <w:t xml:space="preserve"> Если получить однозначный ответ на конкретный атрибут средствами слоёв 1–3 каскада не удаётся, система обращается к большой языковой модели как к запасному слою. Запасной слой подключается селективно: только для тех атрибутов конкретного товара, по которым предыдущие слои не выдали уверенного ответа.</w:t>
      </w:r>
    </w:p>
    <w:p>
      <w:r>
        <w:rPr>
          <w:b/>
        </w:rPr>
        <w:t>Ф-6. Диагностический вывод.</w:t>
      </w:r>
      <w:r>
        <w:t xml:space="preserve"> Система возвращает диагностическую информацию: результат работы валидатора (понижение или подтверждение предсказания), агрегированные оценки уверенности по слоям и маршрут запроса по каскаду. Эта информация необходима для отладки, аудита и накопления данных о поведении системы в эксплуатации.</w:t>
      </w:r>
    </w:p>
    <w:p>
      <w:pPr>
        <w:pStyle w:val="Heading3"/>
      </w:pPr>
      <w:r>
        <w:rPr>
          <w:rFonts w:ascii="Times New Roman" w:hAnsi="Times New Roman"/>
          <w:color w:val="000000"/>
        </w:rPr>
        <w:t>1.3.2 Нефункциональные требования</w:t>
      </w:r>
    </w:p>
    <w:p>
      <w:r>
        <w:rPr>
          <w:b/>
        </w:rPr>
        <w:t>НФ-1. Точность.</w:t>
      </w:r>
      <w:r>
        <w:t xml:space="preserve"> Целевая сквозная точность каскада на эталонной тестовой выборке без пересечения брендов между обучающей и тестовой частями — не менее 85 %. В конфигурации с коммерческой большой языковой моделью в запасном слое — не менее 90 %.</w:t>
      </w:r>
    </w:p>
    <w:p>
      <w:r>
        <w:rPr>
          <w:b/>
        </w:rPr>
        <w:t>НФ-2. Стоимость.</w:t>
      </w:r>
      <w:r>
        <w:t xml:space="preserve"> Стоимость обработки одного товара каскадом должна быть существенно ниже стоимости прямого вызова большой языковой модели на тот же товар. Целевой коэффициент снижения — не менее 2,5×. Ограничение сверху не задаётся; фактически достижимое значение фиксируется по результатам эмпирической оценки в 3.3.2.</w:t>
      </w:r>
    </w:p>
    <w:p>
      <w:r>
        <w:rPr>
          <w:b/>
        </w:rPr>
        <w:t>НФ-3. Производительность.</w:t>
      </w:r>
      <w:r>
        <w:t xml:space="preserve"> Время отклика на один товар при работе без обращения к запасному слою — не более 500 мс на потребительском ноутбуке без специализированного ускорителя. При необходимости обращения к запасному слою — не более 5 секунд. Это значение определяется временем ответа внешнего API большой языковой модели.</w:t>
      </w:r>
    </w:p>
    <w:p>
      <w:r>
        <w:rPr>
          <w:b/>
        </w:rPr>
        <w:t>НФ-4. Многоязычность.</w:t>
      </w:r>
      <w:r>
        <w:t xml:space="preserve"> Система поддерживает обработку описаний товаров на пяти рабочих языках европейского рынка пищевой продукции: французском, английском, немецком, итальянском и испанском. Это соответствует наиболее представленным языкам в Open Food Facts и моделирует реалистичный многоязычный партнёрский поток.</w:t>
      </w:r>
    </w:p>
    <w:p>
      <w:r>
        <w:rPr>
          <w:b/>
        </w:rPr>
        <w:t>НФ-5. Возможность локального развёртывания.</w:t>
      </w:r>
      <w:r>
        <w:t xml:space="preserve"> Система поддерживает сценарий полностью локального развёртывания, при котором обращения к внешним коммерческим API исключаются. Этот сценарий реализуется через подключение в запасной слой открытой языковой модели gpt-oss-120b. Тем самым к каскаду предъявляется требование вендорной независимости.</w:t>
      </w:r>
    </w:p>
    <w:p>
      <w:pPr>
        <w:pStyle w:val="Heading3"/>
      </w:pPr>
      <w:r>
        <w:rPr>
          <w:rFonts w:ascii="Times New Roman" w:hAnsi="Times New Roman"/>
          <w:color w:val="000000"/>
        </w:rPr>
        <w:t>1.3.3 Архитектурные требования</w:t>
      </w:r>
    </w:p>
    <w:p>
      <w:r>
        <w:rPr>
          <w:b/>
        </w:rPr>
        <w:t>А-1. Каскадная архитектура с раздельными слоями.</w:t>
      </w:r>
      <w:r>
        <w:t xml:space="preserve"> Система реализует последовательность слоёв обработки по принципу «передачи остатка». Каждый последующий слой обрабатывает только те атрибуты, по которым предыдущие слои не выдали ответа с уверенностью выше калиброванного порога. Архитектурно слои разделены и могут обновляться независимо.</w:t>
      </w:r>
    </w:p>
    <w:p>
      <w:r>
        <w:rPr>
          <w:b/>
        </w:rPr>
        <w:t>А-2. Независимое обновление слоёв.</w:t>
      </w:r>
      <w:r>
        <w:t xml:space="preserve"> Изменение или переобучение любого отдельного слоя не должно требовать перезапуска или повторного развёртывания других слоёв и API-шлюза системы. К таким изменениям относятся обновление правил, дообучение классификаторов слоя 2, замена языковой модели в запасном слое.</w:t>
      </w:r>
    </w:p>
    <w:p>
      <w:r>
        <w:rPr>
          <w:b/>
        </w:rPr>
        <w:t>А-3. Демонстрационный программный комплекс с веб-интерфейсом.</w:t>
      </w:r>
      <w:r>
        <w:t xml:space="preserve">  Система сопровождается демонстрационным комплексом, который состоит из трёх компонентов:</w:t>
      </w:r>
    </w:p>
    <w:p>
      <w:r>
        <w:t>API-шлюз на языке Go;</w:t>
      </w:r>
    </w:p>
    <w:p>
      <w:r>
        <w:t>ML-сервис на языке Python (FastAPI);</w:t>
      </w:r>
    </w:p>
    <w:p>
      <w:r>
        <w:t>одностраничный веб-интерфейс.</w:t>
      </w:r>
    </w:p>
    <w:p>
      <w:r>
        <w:t>Демонстрация обеспечивает верификацию работоспособности и наглядно представляет результаты работы каскада для контент-менеджера.</w:t>
      </w:r>
    </w:p>
    <w:p>
      <w:pPr>
        <w:pStyle w:val="Heading3"/>
      </w:pPr>
      <w:r>
        <w:rPr>
          <w:rFonts w:ascii="Times New Roman" w:hAnsi="Times New Roman"/>
          <w:color w:val="000000"/>
        </w:rPr>
        <w:t>1.3.4 Соотношение технического задания и решаемых задач работы</w:t>
      </w:r>
    </w:p>
    <w:p>
      <w:r>
        <w:t>Сформулированные требования полностью покрываются задачами, поставленными во введении (таблица 1.2).</w:t>
      </w:r>
    </w:p>
    <w:p>
      <w:pPr>
        <w:jc w:val="left"/>
        <w:ind w:firstLine="0"/>
      </w:pPr>
      <w:r>
        <w:t>Таблица 1.2 — Соответствие требований технического задания и задач работы</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rPr>
          <w:tblHeader/>
        </w:trP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 задачи</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Краткая формулировка задачи</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Покрываемые требования ТЗ</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1</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Разработать архитектуру гибридного каскадного конвейера</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Ф-1, Ф-2, Ф-4, Ф-5, А-1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2</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Реализовать каждый слой каскада как самостоятельный программный компонент</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Ф-6, А-2</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Построить эталонную разметку и проверочную выборку без пересечения брендов</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Ф-3 (в части обеспечения данных для оценки на трёх категориях)</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4</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Провести экспериментальную оценку точности, покрытия и стоимости</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НФ-1, НФ-2, НФ-3, НФ-4, НФ-5</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5</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Разработать демонстрационный программный комплекс</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А-3</w:t>
            </w:r>
          </w:p>
        </w:tc>
      </w:tr>
    </w:tbl>
    <w:p/>
    <w:p>
      <w:r>
        <w:t>Установленное соответствие подтверждает, что выполнение пяти задач работы влечёт за собой выполнение технического задания в полном объёме.</w:t>
      </w:r>
    </w:p>
    <w:p>
      <w:pPr>
        <w:pStyle w:val="Heading2"/>
      </w:pPr>
      <w:r>
        <w:rPr>
          <w:rFonts w:ascii="Times New Roman" w:hAnsi="Times New Roman"/>
          <w:color w:val="000000"/>
        </w:rPr>
        <w:t>1.4 Выводы по главе 1</w:t>
      </w:r>
    </w:p>
    <w:p>
      <w:r>
        <w:t>В главе проведён анализ предметной области, систематизировано состояние литературы и обосновано техническое задание. По результатам анализа можно сформулировать следующие выводы.</w:t>
      </w:r>
    </w:p>
    <w:p>
      <w:pPr>
        <w:pStyle w:val="BodyText"/>
        <w:spacing w:before="20" w:after="20"/>
      </w:pPr>
      <w:r>
        <w:t xml:space="preserve">1. Проблема автоматического обогащения остаётся открытой. Промышленные PIM-системы, такие как Akeneo </w:t>
      </w:r>
      <w:r>
        <w:t>[</w:t>
      </w:r>
      <w:r>
        <w:t xml:space="preserve">5], Pimcore </w:t>
      </w:r>
      <w:r>
        <w:t>[</w:t>
      </w:r>
      <w:r>
        <w:t xml:space="preserve">6], Salsify </w:t>
      </w:r>
      <w:r>
        <w:t>[</w:t>
      </w:r>
      <w:r>
        <w:t>7], ориентированы на хранение и распределение уже сформированной информации. Появляющиеся модули автоматического обогащения реализуются как обёртки над одной коммерческой большой языковой моделью и не отвечают требованиям обработки больших каталогов с учётом стоимости.</w:t>
      </w:r>
    </w:p>
    <w:p>
      <w:pPr>
        <w:pStyle w:val="BodyText"/>
        <w:spacing w:before="20" w:after="20"/>
      </w:pPr>
      <w:r>
        <w:t xml:space="preserve">2. Научные подходы делятся на две группы, и ни одна из них не покрывает задачу полностью. Специализированные системы извлечения атрибутов, такие как TXtract </w:t>
      </w:r>
      <w:r>
        <w:t>[</w:t>
      </w:r>
      <w:r>
        <w:t xml:space="preserve">23], MAVE </w:t>
      </w:r>
      <w:r>
        <w:t>[</w:t>
      </w:r>
      <w:r>
        <w:t xml:space="preserve">24], OpenTag </w:t>
      </w:r>
      <w:r>
        <w:t>[</w:t>
      </w:r>
      <w:r>
        <w:t>25], решают задачу с высоким качеством. Однако они требуют значительной размеченной выборки и не учитывают экономики обращения к моделям. Каскады больших языковых моделей с учётом стоимости — FrugalGPT, AutoMix, Hybrid LLM — дают инструменты управления стоимостью, систематически сопоставленные в бенчмарке RouterBench. Однако эти каскады рассматривают композицию из однородных моделей и не интегрируют классическое машинное обучение.</w:t>
      </w:r>
    </w:p>
    <w:p>
      <w:pPr>
        <w:pStyle w:val="BodyText"/>
        <w:spacing w:before="20" w:after="20"/>
      </w:pPr>
      <w:r>
        <w:t xml:space="preserve">3. Разрабатываемая система объединяет оба подхода в гибридный каскад. Каскад сочетает специализированные слои извлечения признаков — правила, машинное обучение на многоязычных эмбеддингах, байесовский валидатор — и запасной слой LLM с учётом стоимости. Совокупность шести функциональных, пяти нефункциональных и четырёх архитектурных требований ТЗ формирует обязательство, выполнение которого верифицируется в экспериментальной части работы.</w:t>
      </w:r>
    </w:p>
    <w:p>
      <w:pPr>
        <w:pStyle w:val="Heading1"/>
      </w:pPr>
      <w:r>
        <w:rPr>
          <w:rFonts w:ascii="Times New Roman" w:hAnsi="Times New Roman"/>
          <w:color w:val="000000"/>
        </w:rPr>
        <w:t>Глава 2. Теоретическое обоснование решения</w:t>
      </w:r>
    </w:p>
    <w:p>
      <w:r>
        <w:t>В главе формально описывается разрабатываемая система и обосновываются принятые архитектурные решения. Сначала приводится формальная постановка задачи и логика работы программного обеспечения (2.1). Затем рассматриваются архитектура и стек технологий, а также обоснование выбора каждой компоненты (2.2). В конце разбирается логика прохождения типового запроса через систему (2.3).</w:t>
      </w:r>
    </w:p>
    <w:p>
      <w:pPr>
        <w:pStyle w:val="Heading2"/>
      </w:pPr>
      <w:r>
        <w:rPr>
          <w:rFonts w:ascii="Times New Roman" w:hAnsi="Times New Roman"/>
          <w:color w:val="000000"/>
        </w:rPr>
        <w:t>2.1 Логика работы разрабатываемого программного обеспечения</w:t>
      </w:r>
    </w:p>
    <w:p>
      <w:pPr>
        <w:pStyle w:val="Heading3"/>
      </w:pPr>
      <w:r>
        <w:rPr>
          <w:rFonts w:ascii="Times New Roman" w:hAnsi="Times New Roman"/>
          <w:color w:val="000000"/>
        </w:rPr>
        <w:t>2.1.1 Формальная постановка задачи обогащения</w:t>
      </w:r>
    </w:p>
    <w:p>
      <w:r>
        <w:t>Пусть товарная позиция, поступающая в систему от партнёра, представлена кортежем партнёр-доступных полей</w:t>
      </w:r>
    </w:p>
    <w:p>
      <w:pPr>
        <w:jc w:val="left"/>
      </w:pPr>
      <w:r>
        <w:drawing>
          <wp:inline xmlns:a="http://schemas.openxmlformats.org/drawingml/2006/main" xmlns:pic="http://schemas.openxmlformats.org/drawingml/2006/picture">
            <wp:extent cx="1860807" cy="169164"/>
            <wp:docPr id="2" name="Picture 2"/>
            <wp:cNvGraphicFramePr>
              <a:graphicFrameLocks noChangeAspect="1"/>
            </wp:cNvGraphicFramePr>
            <a:graphic>
              <a:graphicData uri="http://schemas.openxmlformats.org/drawingml/2006/picture">
                <pic:pic>
                  <pic:nvPicPr>
                    <pic:cNvPr id="0" name="6791d1b286966bcb.png"/>
                    <pic:cNvPicPr/>
                  </pic:nvPicPr>
                  <pic:blipFill>
                    <a:blip r:embed="rId10"/>
                    <a:stretch>
                      <a:fillRect/>
                    </a:stretch>
                  </pic:blipFill>
                  <pic:spPr>
                    <a:xfrm>
                      <a:off x="0" y="0"/>
                      <a:ext cx="1860807" cy="169164"/>
                    </a:xfrm>
                    <a:prstGeom prst="rect"/>
                  </pic:spPr>
                </pic:pic>
              </a:graphicData>
            </a:graphic>
          </wp:inline>
        </w:drawing>
      </w:r>
    </w:p>
    <w:p>
      <w:r>
        <w:t xml:space="preserve">где </w:t>
      </w:r>
      <w:r>
        <w:drawing>
          <wp:inline xmlns:a="http://schemas.openxmlformats.org/drawingml/2006/main" xmlns:pic="http://schemas.openxmlformats.org/drawingml/2006/picture">
            <wp:extent cx="263334" cy="76805"/>
            <wp:docPr id="3" name="Picture 3"/>
            <wp:cNvGraphicFramePr>
              <a:graphicFrameLocks noChangeAspect="1"/>
            </wp:cNvGraphicFramePr>
            <a:graphic>
              <a:graphicData uri="http://schemas.openxmlformats.org/drawingml/2006/picture">
                <pic:pic>
                  <pic:nvPicPr>
                    <pic:cNvPr id="0" name="c2501da5ba8aac59.png"/>
                    <pic:cNvPicPr/>
                  </pic:nvPicPr>
                  <pic:blipFill>
                    <a:blip r:embed="rId11"/>
                    <a:stretch>
                      <a:fillRect/>
                    </a:stretch>
                  </pic:blipFill>
                  <pic:spPr>
                    <a:xfrm>
                      <a:off x="0" y="0"/>
                      <a:ext cx="263334" cy="76805"/>
                    </a:xfrm>
                    <a:prstGeom prst="rect"/>
                  </pic:spPr>
                </pic:pic>
              </a:graphicData>
            </a:graphic>
          </wp:inline>
        </w:drawing>
      </w:r>
      <w:r>
        <w:t xml:space="preserve"> — название, </w:t>
      </w:r>
      <w:r>
        <w:drawing>
          <wp:inline xmlns:a="http://schemas.openxmlformats.org/drawingml/2006/main" xmlns:pic="http://schemas.openxmlformats.org/drawingml/2006/picture">
            <wp:extent cx="281621" cy="95092"/>
            <wp:docPr id="4" name="Picture 4"/>
            <wp:cNvGraphicFramePr>
              <a:graphicFrameLocks noChangeAspect="1"/>
            </wp:cNvGraphicFramePr>
            <a:graphic>
              <a:graphicData uri="http://schemas.openxmlformats.org/drawingml/2006/picture">
                <pic:pic>
                  <pic:nvPicPr>
                    <pic:cNvPr id="0" name="e9b4cce952634b7a.png"/>
                    <pic:cNvPicPr/>
                  </pic:nvPicPr>
                  <pic:blipFill>
                    <a:blip r:embed="rId12"/>
                    <a:stretch>
                      <a:fillRect/>
                    </a:stretch>
                  </pic:blipFill>
                  <pic:spPr>
                    <a:xfrm>
                      <a:off x="0" y="0"/>
                      <a:ext cx="281621" cy="95092"/>
                    </a:xfrm>
                    <a:prstGeom prst="rect"/>
                  </pic:spPr>
                </pic:pic>
              </a:graphicData>
            </a:graphic>
          </wp:inline>
        </w:drawing>
      </w:r>
      <w:r>
        <w:t xml:space="preserve"> — бренд, </w:t>
      </w:r>
      <w:r>
        <w:drawing>
          <wp:inline xmlns:a="http://schemas.openxmlformats.org/drawingml/2006/main" xmlns:pic="http://schemas.openxmlformats.org/drawingml/2006/picture">
            <wp:extent cx="212130" cy="95092"/>
            <wp:docPr id="5" name="Picture 5"/>
            <wp:cNvGraphicFramePr>
              <a:graphicFrameLocks noChangeAspect="1"/>
            </wp:cNvGraphicFramePr>
            <a:graphic>
              <a:graphicData uri="http://schemas.openxmlformats.org/drawingml/2006/picture">
                <pic:pic>
                  <pic:nvPicPr>
                    <pic:cNvPr id="0" name="766959d83f2b5319.png"/>
                    <pic:cNvPicPr/>
                  </pic:nvPicPr>
                  <pic:blipFill>
                    <a:blip r:embed="rId13"/>
                    <a:stretch>
                      <a:fillRect/>
                    </a:stretch>
                  </pic:blipFill>
                  <pic:spPr>
                    <a:xfrm>
                      <a:off x="0" y="0"/>
                      <a:ext cx="212130" cy="95092"/>
                    </a:xfrm>
                    <a:prstGeom prst="rect"/>
                  </pic:spPr>
                </pic:pic>
              </a:graphicData>
            </a:graphic>
          </wp:inline>
        </w:drawing>
      </w:r>
      <w:r>
        <w:t xml:space="preserve"> — состав, </w:t>
      </w:r>
      <w:r>
        <w:drawing>
          <wp:inline xmlns:a="http://schemas.openxmlformats.org/drawingml/2006/main" xmlns:pic="http://schemas.openxmlformats.org/drawingml/2006/picture">
            <wp:extent cx="186528" cy="91435"/>
            <wp:docPr id="6" name="Picture 6"/>
            <wp:cNvGraphicFramePr>
              <a:graphicFrameLocks noChangeAspect="1"/>
            </wp:cNvGraphicFramePr>
            <a:graphic>
              <a:graphicData uri="http://schemas.openxmlformats.org/drawingml/2006/picture">
                <pic:pic>
                  <pic:nvPicPr>
                    <pic:cNvPr id="0" name="8aa9e3c91934e271.png"/>
                    <pic:cNvPicPr/>
                  </pic:nvPicPr>
                  <pic:blipFill>
                    <a:blip r:embed="rId14"/>
                    <a:stretch>
                      <a:fillRect/>
                    </a:stretch>
                  </pic:blipFill>
                  <pic:spPr>
                    <a:xfrm>
                      <a:off x="0" y="0"/>
                      <a:ext cx="186528" cy="91435"/>
                    </a:xfrm>
                    <a:prstGeom prst="rect"/>
                  </pic:spPr>
                </pic:pic>
              </a:graphicData>
            </a:graphic>
          </wp:inline>
        </w:drawing>
      </w:r>
      <w:r>
        <w:t xml:space="preserve"> — количество. Любое поле, кроме названия, может быть пустым. Задача — восстановить структурированные характеристики по этому минимуму.</w:t>
      </w:r>
    </w:p>
    <w:p>
      <w:r>
        <w:t xml:space="preserve">Каждому товару ставится в соответствие категория </w:t>
      </w:r>
      <w:r>
        <w:drawing>
          <wp:inline xmlns:a="http://schemas.openxmlformats.org/drawingml/2006/main" xmlns:pic="http://schemas.openxmlformats.org/drawingml/2006/picture">
            <wp:extent cx="1473940" cy="113380"/>
            <wp:docPr id="7" name="Picture 7"/>
            <wp:cNvGraphicFramePr>
              <a:graphicFrameLocks noChangeAspect="1"/>
            </wp:cNvGraphicFramePr>
            <a:graphic>
              <a:graphicData uri="http://schemas.openxmlformats.org/drawingml/2006/picture">
                <pic:pic>
                  <pic:nvPicPr>
                    <pic:cNvPr id="0" name="2243f78331c7f7a3.png"/>
                    <pic:cNvPicPr/>
                  </pic:nvPicPr>
                  <pic:blipFill>
                    <a:blip r:embed="rId15"/>
                    <a:stretch>
                      <a:fillRect/>
                    </a:stretch>
                  </pic:blipFill>
                  <pic:spPr>
                    <a:xfrm>
                      <a:off x="0" y="0"/>
                      <a:ext cx="1473940" cy="113380"/>
                    </a:xfrm>
                    <a:prstGeom prst="rect"/>
                  </pic:spPr>
                </pic:pic>
              </a:graphicData>
            </a:graphic>
          </wp:inline>
        </w:drawing>
      </w:r>
      <w:r>
        <w:t xml:space="preserve"> (</w:t>
      </w:r>
      <w:r>
        <w:drawing>
          <wp:inline xmlns:a="http://schemas.openxmlformats.org/drawingml/2006/main" xmlns:pic="http://schemas.openxmlformats.org/drawingml/2006/picture">
            <wp:extent cx="318195" cy="76805"/>
            <wp:docPr id="8" name="Picture 8"/>
            <wp:cNvGraphicFramePr>
              <a:graphicFrameLocks noChangeAspect="1"/>
            </wp:cNvGraphicFramePr>
            <a:graphic>
              <a:graphicData uri="http://schemas.openxmlformats.org/drawingml/2006/picture">
                <pic:pic>
                  <pic:nvPicPr>
                    <pic:cNvPr id="0" name="f6df9dc934729c66.png"/>
                    <pic:cNvPicPr/>
                  </pic:nvPicPr>
                  <pic:blipFill>
                    <a:blip r:embed="rId16"/>
                    <a:stretch>
                      <a:fillRect/>
                    </a:stretch>
                  </pic:blipFill>
                  <pic:spPr>
                    <a:xfrm>
                      <a:off x="0" y="0"/>
                      <a:ext cx="318195" cy="76805"/>
                    </a:xfrm>
                    <a:prstGeom prst="rect"/>
                  </pic:spPr>
                </pic:pic>
              </a:graphicData>
            </a:graphic>
          </wp:inline>
        </w:drawing>
      </w:r>
      <w:r>
        <w:t>: pasta, chocolate, cheeses; метка OOD — выход за пределы поддерживаемых доменов). Категорию определяет отдельная модель</w:t>
      </w:r>
    </w:p>
    <w:p>
      <w:pPr>
        <w:jc w:val="left"/>
      </w:pPr>
      <w:r>
        <w:drawing>
          <wp:inline xmlns:a="http://schemas.openxmlformats.org/drawingml/2006/main" xmlns:pic="http://schemas.openxmlformats.org/drawingml/2006/picture">
            <wp:extent cx="626365" cy="150876"/>
            <wp:docPr id="9" name="Picture 9"/>
            <wp:cNvGraphicFramePr>
              <a:graphicFrameLocks noChangeAspect="1"/>
            </wp:cNvGraphicFramePr>
            <a:graphic>
              <a:graphicData uri="http://schemas.openxmlformats.org/drawingml/2006/picture">
                <pic:pic>
                  <pic:nvPicPr>
                    <pic:cNvPr id="0" name="7cb28f06bb6c4a83.png"/>
                    <pic:cNvPicPr/>
                  </pic:nvPicPr>
                  <pic:blipFill>
                    <a:blip r:embed="rId17"/>
                    <a:stretch>
                      <a:fillRect/>
                    </a:stretch>
                  </pic:blipFill>
                  <pic:spPr>
                    <a:xfrm>
                      <a:off x="0" y="0"/>
                      <a:ext cx="626365" cy="150876"/>
                    </a:xfrm>
                    <a:prstGeom prst="rect"/>
                  </pic:spPr>
                </pic:pic>
              </a:graphicData>
            </a:graphic>
          </wp:inline>
        </w:drawing>
      </w:r>
    </w:p>
    <w:p>
      <w:r>
        <w:t xml:space="preserve">(Слой 0, см. 2.2.1). Для каждой категории задана схема </w:t>
      </w:r>
      <w:r>
        <w:drawing>
          <wp:inline xmlns:a="http://schemas.openxmlformats.org/drawingml/2006/main" xmlns:pic="http://schemas.openxmlformats.org/drawingml/2006/picture">
            <wp:extent cx="910697" cy="113380"/>
            <wp:docPr id="10" name="Picture 10"/>
            <wp:cNvGraphicFramePr>
              <a:graphicFrameLocks noChangeAspect="1"/>
            </wp:cNvGraphicFramePr>
            <a:graphic>
              <a:graphicData uri="http://schemas.openxmlformats.org/drawingml/2006/picture">
                <pic:pic>
                  <pic:nvPicPr>
                    <pic:cNvPr id="0" name="ff8275bbb653a894.png"/>
                    <pic:cNvPicPr/>
                  </pic:nvPicPr>
                  <pic:blipFill>
                    <a:blip r:embed="rId18"/>
                    <a:stretch>
                      <a:fillRect/>
                    </a:stretch>
                  </pic:blipFill>
                  <pic:spPr>
                    <a:xfrm>
                      <a:off x="0" y="0"/>
                      <a:ext cx="910697" cy="113380"/>
                    </a:xfrm>
                    <a:prstGeom prst="rect"/>
                  </pic:spPr>
                </pic:pic>
              </a:graphicData>
            </a:graphic>
          </wp:inline>
        </w:drawing>
      </w:r>
      <w:r>
        <w:t xml:space="preserve"> с областями </w:t>
      </w:r>
      <w:r>
        <w:drawing>
          <wp:inline xmlns:a="http://schemas.openxmlformats.org/drawingml/2006/main" xmlns:pic="http://schemas.openxmlformats.org/drawingml/2006/picture">
            <wp:extent cx="117037" cy="95092"/>
            <wp:docPr id="11" name="Picture 11"/>
            <wp:cNvGraphicFramePr>
              <a:graphicFrameLocks noChangeAspect="1"/>
            </wp:cNvGraphicFramePr>
            <a:graphic>
              <a:graphicData uri="http://schemas.openxmlformats.org/drawingml/2006/picture">
                <pic:pic>
                  <pic:nvPicPr>
                    <pic:cNvPr id="0" name="41ff8f656aeca89a.png"/>
                    <pic:cNvPicPr/>
                  </pic:nvPicPr>
                  <pic:blipFill>
                    <a:blip r:embed="rId19"/>
                    <a:stretch>
                      <a:fillRect/>
                    </a:stretch>
                  </pic:blipFill>
                  <pic:spPr>
                    <a:xfrm>
                      <a:off x="0" y="0"/>
                      <a:ext cx="117037" cy="95092"/>
                    </a:xfrm>
                    <a:prstGeom prst="rect"/>
                  </pic:spPr>
                </pic:pic>
              </a:graphicData>
            </a:graphic>
          </wp:inline>
        </w:drawing>
      </w:r>
      <w:r>
        <w:t>; система строит</w:t>
      </w:r>
    </w:p>
    <w:p>
      <w:pPr>
        <w:jc w:val="left"/>
      </w:pPr>
      <w:r>
        <w:drawing>
          <wp:inline xmlns:a="http://schemas.openxmlformats.org/drawingml/2006/main" xmlns:pic="http://schemas.openxmlformats.org/drawingml/2006/picture">
            <wp:extent cx="3611887" cy="150876"/>
            <wp:docPr id="12" name="Picture 12"/>
            <wp:cNvGraphicFramePr>
              <a:graphicFrameLocks noChangeAspect="1"/>
            </wp:cNvGraphicFramePr>
            <a:graphic>
              <a:graphicData uri="http://schemas.openxmlformats.org/drawingml/2006/picture">
                <pic:pic>
                  <pic:nvPicPr>
                    <pic:cNvPr id="0" name="2ccdba3f5d69d0aa.png"/>
                    <pic:cNvPicPr/>
                  </pic:nvPicPr>
                  <pic:blipFill>
                    <a:blip r:embed="rId20"/>
                    <a:stretch>
                      <a:fillRect/>
                    </a:stretch>
                  </pic:blipFill>
                  <pic:spPr>
                    <a:xfrm>
                      <a:off x="0" y="0"/>
                      <a:ext cx="3611887" cy="150876"/>
                    </a:xfrm>
                    <a:prstGeom prst="rect"/>
                  </pic:spPr>
                </pic:pic>
              </a:graphicData>
            </a:graphic>
          </wp:inline>
        </w:drawing>
      </w:r>
    </w:p>
    <w:p>
      <w:r>
        <w:t xml:space="preserve">где </w:t>
      </w:r>
      <w:r>
        <w:drawing>
          <wp:inline xmlns:a="http://schemas.openxmlformats.org/drawingml/2006/main" xmlns:pic="http://schemas.openxmlformats.org/drawingml/2006/picture">
            <wp:extent cx="435233" cy="98750"/>
            <wp:docPr id="13" name="Picture 13"/>
            <wp:cNvGraphicFramePr>
              <a:graphicFrameLocks noChangeAspect="1"/>
            </wp:cNvGraphicFramePr>
            <a:graphic>
              <a:graphicData uri="http://schemas.openxmlformats.org/drawingml/2006/picture">
                <pic:pic>
                  <pic:nvPicPr>
                    <pic:cNvPr id="0" name="a5e753fac9232230.png"/>
                    <pic:cNvPicPr/>
                  </pic:nvPicPr>
                  <pic:blipFill>
                    <a:blip r:embed="rId21"/>
                    <a:stretch>
                      <a:fillRect/>
                    </a:stretch>
                  </pic:blipFill>
                  <pic:spPr>
                    <a:xfrm>
                      <a:off x="0" y="0"/>
                      <a:ext cx="435233" cy="98750"/>
                    </a:xfrm>
                    <a:prstGeom prst="rect"/>
                  </pic:spPr>
                </pic:pic>
              </a:graphicData>
            </a:graphic>
          </wp:inline>
        </w:drawing>
      </w:r>
      <w:r>
        <w:t xml:space="preserve"> — явный отказ системы от ответа. Честное молчание предпочтительнее неверного заполнения: повторное обращение к оператору дешевле ошибки на витрине. Опорное эталонное значение — </w:t>
      </w:r>
      <w:r>
        <w:drawing>
          <wp:inline xmlns:a="http://schemas.openxmlformats.org/drawingml/2006/main" xmlns:pic="http://schemas.openxmlformats.org/drawingml/2006/picture">
            <wp:extent cx="146296" cy="157269"/>
            <wp:docPr id="14" name="Picture 14"/>
            <wp:cNvGraphicFramePr>
              <a:graphicFrameLocks noChangeAspect="1"/>
            </wp:cNvGraphicFramePr>
            <a:graphic>
              <a:graphicData uri="http://schemas.openxmlformats.org/drawingml/2006/picture">
                <pic:pic>
                  <pic:nvPicPr>
                    <pic:cNvPr id="0" name="166fbc563e895143.png"/>
                    <pic:cNvPicPr/>
                  </pic:nvPicPr>
                  <pic:blipFill>
                    <a:blip r:embed="rId22"/>
                    <a:stretch>
                      <a:fillRect/>
                    </a:stretch>
                  </pic:blipFill>
                  <pic:spPr>
                    <a:xfrm>
                      <a:off x="0" y="0"/>
                      <a:ext cx="146296" cy="157269"/>
                    </a:xfrm>
                    <a:prstGeom prst="rect"/>
                  </pic:spPr>
                </pic:pic>
              </a:graphicData>
            </a:graphic>
          </wp:inline>
        </w:drawing>
      </w:r>
      <w:r>
        <w:t>; товары с известным эталоном образуют проверочную выборку (2.1.4).</w:t>
      </w:r>
    </w:p>
    <w:p>
      <w:pPr>
        <w:pStyle w:val="Heading3"/>
      </w:pPr>
      <w:r>
        <w:rPr>
          <w:rFonts w:ascii="Times New Roman" w:hAnsi="Times New Roman"/>
          <w:color w:val="000000"/>
        </w:rPr>
        <w:t>2.1.2 Каскадная схема принятия решения</w:t>
      </w:r>
    </w:p>
    <w:p>
      <w:r>
        <w:t xml:space="preserve">Логика обогащения реализована как каскад из четырёх содержательных слоёв; ему предшествует определение категории. Для каждого атрибута </w:t>
      </w:r>
      <w:r>
        <w:drawing>
          <wp:inline xmlns:a="http://schemas.openxmlformats.org/drawingml/2006/main" xmlns:pic="http://schemas.openxmlformats.org/drawingml/2006/picture">
            <wp:extent cx="54861" cy="76805"/>
            <wp:docPr id="15" name="Picture 15"/>
            <wp:cNvGraphicFramePr>
              <a:graphicFrameLocks noChangeAspect="1"/>
            </wp:cNvGraphicFramePr>
            <a:graphic>
              <a:graphicData uri="http://schemas.openxmlformats.org/drawingml/2006/picture">
                <pic:pic>
                  <pic:nvPicPr>
                    <pic:cNvPr id="0" name="e62b44040918f029.png"/>
                    <pic:cNvPicPr/>
                  </pic:nvPicPr>
                  <pic:blipFill>
                    <a:blip r:embed="rId23"/>
                    <a:stretch>
                      <a:fillRect/>
                    </a:stretch>
                  </pic:blipFill>
                  <pic:spPr>
                    <a:xfrm>
                      <a:off x="0" y="0"/>
                      <a:ext cx="54861" cy="76805"/>
                    </a:xfrm>
                    <a:prstGeom prst="rect"/>
                  </pic:spPr>
                </pic:pic>
              </a:graphicData>
            </a:graphic>
          </wp:inline>
        </w:drawing>
      </w:r>
      <w:r>
        <w:t xml:space="preserve"> итоговое предсказание формируется по правилу</w:t>
      </w:r>
    </w:p>
    <w:p>
      <w:pPr>
        <w:jc w:val="left"/>
      </w:pPr>
      <w:r>
        <w:drawing>
          <wp:inline xmlns:a="http://schemas.openxmlformats.org/drawingml/2006/main" xmlns:pic="http://schemas.openxmlformats.org/drawingml/2006/picture">
            <wp:extent cx="4379984" cy="731521"/>
            <wp:docPr id="16" name="Picture 16"/>
            <wp:cNvGraphicFramePr>
              <a:graphicFrameLocks noChangeAspect="1"/>
            </wp:cNvGraphicFramePr>
            <a:graphic>
              <a:graphicData uri="http://schemas.openxmlformats.org/drawingml/2006/picture">
                <pic:pic>
                  <pic:nvPicPr>
                    <pic:cNvPr id="0" name="4fd97bee846f55d4.png"/>
                    <pic:cNvPicPr/>
                  </pic:nvPicPr>
                  <pic:blipFill>
                    <a:blip r:embed="rId24"/>
                    <a:stretch>
                      <a:fillRect/>
                    </a:stretch>
                  </pic:blipFill>
                  <pic:spPr>
                    <a:xfrm>
                      <a:off x="0" y="0"/>
                      <a:ext cx="4379984" cy="731521"/>
                    </a:xfrm>
                    <a:prstGeom prst="rect"/>
                  </pic:spPr>
                </pic:pic>
              </a:graphicData>
            </a:graphic>
          </wp:inline>
        </w:drawing>
      </w:r>
    </w:p>
    <w:p>
      <w:r>
        <w:t>В первой строке экстрактор регулярных выражений нашёл значение; во второй — экстрактор отказался, но классификатор и валидатор согласились с заданным уровнем уверенности; в третьей строке (</w:t>
      </w:r>
      <w:r>
        <w:rPr>
          <w:rFonts w:ascii="Consolas" w:hAnsi="Consolas"/>
          <w:sz w:val="18"/>
          <w:shd w:fill="F5F5F5" w:val="clear"/>
        </w:rPr>
        <w:t>otherwise</w:t>
      </w:r>
      <w:r>
        <w:t>) ни одно из условий выше не выполнено, и ячейка передаётся на запасной слой.</w:t>
      </w:r>
    </w:p>
    <w:p>
      <w:r>
        <w:t>Используются следующие обозначения:</w:t>
      </w:r>
    </w:p>
    <w:p>
      <w:pPr>
        <w:pStyle w:val="ListBullet"/>
        <w:spacing w:before="20" w:after="20"/>
      </w:pPr>
      <w:r>
        <w:drawing>
          <wp:inline xmlns:a="http://schemas.openxmlformats.org/drawingml/2006/main" xmlns:pic="http://schemas.openxmlformats.org/drawingml/2006/picture">
            <wp:extent cx="263334" cy="131667"/>
            <wp:docPr id="17" name="Picture 17"/>
            <wp:cNvGraphicFramePr>
              <a:graphicFrameLocks noChangeAspect="1"/>
            </wp:cNvGraphicFramePr>
            <a:graphic>
              <a:graphicData uri="http://schemas.openxmlformats.org/drawingml/2006/picture">
                <pic:pic>
                  <pic:nvPicPr>
                    <pic:cNvPr id="0" name="809c1ec036f72598.png"/>
                    <pic:cNvPicPr/>
                  </pic:nvPicPr>
                  <pic:blipFill>
                    <a:blip r:embed="rId25"/>
                    <a:stretch>
                      <a:fillRect/>
                    </a:stretch>
                  </pic:blipFill>
                  <pic:spPr>
                    <a:xfrm>
                      <a:off x="0" y="0"/>
                      <a:ext cx="263334" cy="131667"/>
                    </a:xfrm>
                    <a:prstGeom prst="rect"/>
                  </pic:spPr>
                </pic:pic>
              </a:graphicData>
            </a:graphic>
          </wp:inline>
        </w:drawing>
      </w:r>
      <w:r>
        <w:t xml:space="preserve"> — экстрактор регулярных выражений (Слой 1), детерминированная функция от текстовых полей. Слой считается несработавшим, если ни один шаблон не дал совпадения;</w:t>
      </w:r>
    </w:p>
    <w:p>
      <w:pPr>
        <w:pStyle w:val="ListBullet"/>
        <w:spacing w:before="20" w:after="20"/>
      </w:pPr>
      <w:r>
        <w:drawing>
          <wp:inline xmlns:a="http://schemas.openxmlformats.org/drawingml/2006/main" xmlns:pic="http://schemas.openxmlformats.org/drawingml/2006/picture">
            <wp:extent cx="197500" cy="128009"/>
            <wp:docPr id="18" name="Picture 18"/>
            <wp:cNvGraphicFramePr>
              <a:graphicFrameLocks noChangeAspect="1"/>
            </wp:cNvGraphicFramePr>
            <a:graphic>
              <a:graphicData uri="http://schemas.openxmlformats.org/drawingml/2006/picture">
                <pic:pic>
                  <pic:nvPicPr>
                    <pic:cNvPr id="0" name="913a48f796897816.png"/>
                    <pic:cNvPicPr/>
                  </pic:nvPicPr>
                  <pic:blipFill>
                    <a:blip r:embed="rId26"/>
                    <a:stretch>
                      <a:fillRect/>
                    </a:stretch>
                  </pic:blipFill>
                  <pic:spPr>
                    <a:xfrm>
                      <a:off x="0" y="0"/>
                      <a:ext cx="197500" cy="128009"/>
                    </a:xfrm>
                    <a:prstGeom prst="rect"/>
                  </pic:spPr>
                </pic:pic>
              </a:graphicData>
            </a:graphic>
          </wp:inline>
        </w:drawing>
      </w:r>
      <w:r>
        <w:t xml:space="preserve"> — классификатор машинного обучения (Слой 2) над многоязычным векторным представлением партнёр-доступных полей;</w:t>
      </w:r>
    </w:p>
    <w:p>
      <w:pPr>
        <w:pStyle w:val="ListBullet"/>
        <w:spacing w:before="20" w:after="20"/>
      </w:pPr>
      <w:r>
        <w:drawing>
          <wp:inline xmlns:a="http://schemas.openxmlformats.org/drawingml/2006/main" xmlns:pic="http://schemas.openxmlformats.org/drawingml/2006/picture">
            <wp:extent cx="544955" cy="113380"/>
            <wp:docPr id="19" name="Picture 19"/>
            <wp:cNvGraphicFramePr>
              <a:graphicFrameLocks noChangeAspect="1"/>
            </wp:cNvGraphicFramePr>
            <a:graphic>
              <a:graphicData uri="http://schemas.openxmlformats.org/drawingml/2006/picture">
                <pic:pic>
                  <pic:nvPicPr>
                    <pic:cNvPr id="0" name="31be3ed72422eaca.png"/>
                    <pic:cNvPicPr/>
                  </pic:nvPicPr>
                  <pic:blipFill>
                    <a:blip r:embed="rId27"/>
                    <a:stretch>
                      <a:fillRect/>
                    </a:stretch>
                  </pic:blipFill>
                  <pic:spPr>
                    <a:xfrm>
                      <a:off x="0" y="0"/>
                      <a:ext cx="544955" cy="113380"/>
                    </a:xfrm>
                    <a:prstGeom prst="rect"/>
                  </pic:spPr>
                </pic:pic>
              </a:graphicData>
            </a:graphic>
          </wp:inline>
        </w:drawing>
      </w:r>
      <w:r>
        <w:t xml:space="preserve"> — апостериорная вероятность класса по оценке классификатора после калибровки;</w:t>
      </w:r>
    </w:p>
    <w:p>
      <w:pPr>
        <w:pStyle w:val="ListBullet"/>
        <w:spacing w:before="20" w:after="20"/>
      </w:pPr>
      <w:r>
        <w:drawing>
          <wp:inline xmlns:a="http://schemas.openxmlformats.org/drawingml/2006/main" xmlns:pic="http://schemas.openxmlformats.org/drawingml/2006/picture">
            <wp:extent cx="91435" cy="65833"/>
            <wp:docPr id="20" name="Picture 20"/>
            <wp:cNvGraphicFramePr>
              <a:graphicFrameLocks noChangeAspect="1"/>
            </wp:cNvGraphicFramePr>
            <a:graphic>
              <a:graphicData uri="http://schemas.openxmlformats.org/drawingml/2006/picture">
                <pic:pic>
                  <pic:nvPicPr>
                    <pic:cNvPr id="0" name="7e79236b60771829.png"/>
                    <pic:cNvPicPr/>
                  </pic:nvPicPr>
                  <pic:blipFill>
                    <a:blip r:embed="rId28"/>
                    <a:stretch>
                      <a:fillRect/>
                    </a:stretch>
                  </pic:blipFill>
                  <pic:spPr>
                    <a:xfrm>
                      <a:off x="0" y="0"/>
                      <a:ext cx="91435" cy="65833"/>
                    </a:xfrm>
                    <a:prstGeom prst="rect"/>
                  </pic:spPr>
                </pic:pic>
              </a:graphicData>
            </a:graphic>
          </wp:inline>
        </w:drawing>
      </w:r>
      <w:r>
        <w:t xml:space="preserve"> — поатрибутный порог уверенности классификатора, подобранный на отложенной части обучающей выборки;</w:t>
      </w:r>
    </w:p>
    <w:p>
      <w:pPr>
        <w:pStyle w:val="ListBullet"/>
        <w:spacing w:before="20" w:after="20"/>
      </w:pPr>
      <w:r>
        <w:drawing>
          <wp:inline xmlns:a="http://schemas.openxmlformats.org/drawingml/2006/main" xmlns:pic="http://schemas.openxmlformats.org/drawingml/2006/picture">
            <wp:extent cx="475464" cy="113380"/>
            <wp:docPr id="21" name="Picture 21"/>
            <wp:cNvGraphicFramePr>
              <a:graphicFrameLocks noChangeAspect="1"/>
            </wp:cNvGraphicFramePr>
            <a:graphic>
              <a:graphicData uri="http://schemas.openxmlformats.org/drawingml/2006/picture">
                <pic:pic>
                  <pic:nvPicPr>
                    <pic:cNvPr id="0" name="a1f84c33cf82fe6e.png"/>
                    <pic:cNvPicPr/>
                  </pic:nvPicPr>
                  <pic:blipFill>
                    <a:blip r:embed="rId29"/>
                    <a:stretch>
                      <a:fillRect/>
                    </a:stretch>
                  </pic:blipFill>
                  <pic:spPr>
                    <a:xfrm>
                      <a:off x="0" y="0"/>
                      <a:ext cx="475464" cy="113380"/>
                    </a:xfrm>
                    <a:prstGeom prst="rect"/>
                  </pic:spPr>
                </pic:pic>
              </a:graphicData>
            </a:graphic>
          </wp:inline>
        </w:drawing>
      </w:r>
      <w:r>
        <w:t xml:space="preserve"> — оценка вероятности предсказанного значения по обученной байесовской сети при свидетельствах </w:t>
      </w:r>
      <w:r>
        <w:drawing>
          <wp:inline xmlns:a="http://schemas.openxmlformats.org/drawingml/2006/main" xmlns:pic="http://schemas.openxmlformats.org/drawingml/2006/picture">
            <wp:extent cx="833892" cy="131667"/>
            <wp:docPr id="22" name="Picture 22"/>
            <wp:cNvGraphicFramePr>
              <a:graphicFrameLocks noChangeAspect="1"/>
            </wp:cNvGraphicFramePr>
            <a:graphic>
              <a:graphicData uri="http://schemas.openxmlformats.org/drawingml/2006/picture">
                <pic:pic>
                  <pic:nvPicPr>
                    <pic:cNvPr id="0" name="cc6eb913a0532e9e.png"/>
                    <pic:cNvPicPr/>
                  </pic:nvPicPr>
                  <pic:blipFill>
                    <a:blip r:embed="rId30"/>
                    <a:stretch>
                      <a:fillRect/>
                    </a:stretch>
                  </pic:blipFill>
                  <pic:spPr>
                    <a:xfrm>
                      <a:off x="0" y="0"/>
                      <a:ext cx="833892" cy="131667"/>
                    </a:xfrm>
                    <a:prstGeom prst="rect"/>
                  </pic:spPr>
                </pic:pic>
              </a:graphicData>
            </a:graphic>
          </wp:inline>
        </w:drawing>
      </w:r>
      <w:r>
        <w:t>. Свидетельствами выступают известный бренд и уже сформированные предсказания других атрибутов товара;</w:t>
      </w:r>
    </w:p>
    <w:p>
      <w:pPr>
        <w:pStyle w:val="ListBullet"/>
        <w:spacing w:before="20" w:after="20"/>
      </w:pPr>
      <w:r>
        <w:drawing>
          <wp:inline xmlns:a="http://schemas.openxmlformats.org/drawingml/2006/main" xmlns:pic="http://schemas.openxmlformats.org/drawingml/2006/picture">
            <wp:extent cx="91435" cy="95092"/>
            <wp:docPr id="23" name="Picture 23"/>
            <wp:cNvGraphicFramePr>
              <a:graphicFrameLocks noChangeAspect="1"/>
            </wp:cNvGraphicFramePr>
            <a:graphic>
              <a:graphicData uri="http://schemas.openxmlformats.org/drawingml/2006/picture">
                <pic:pic>
                  <pic:nvPicPr>
                    <pic:cNvPr id="0" name="a24c84deb82efd05.png"/>
                    <pic:cNvPicPr/>
                  </pic:nvPicPr>
                  <pic:blipFill>
                    <a:blip r:embed="rId31"/>
                    <a:stretch>
                      <a:fillRect/>
                    </a:stretch>
                  </pic:blipFill>
                  <pic:spPr>
                    <a:xfrm>
                      <a:off x="0" y="0"/>
                      <a:ext cx="91435" cy="95092"/>
                    </a:xfrm>
                    <a:prstGeom prst="rect"/>
                  </pic:spPr>
                </pic:pic>
              </a:graphicData>
            </a:graphic>
          </wp:inline>
        </w:drawing>
      </w:r>
      <w:r>
        <w:t xml:space="preserve"> — поатрибутный порог байесовского валидатора. В реализации он задаётся как пятый перцентиль распределения </w:t>
      </w:r>
      <w:r>
        <w:drawing>
          <wp:inline xmlns:a="http://schemas.openxmlformats.org/drawingml/2006/main" xmlns:pic="http://schemas.openxmlformats.org/drawingml/2006/picture">
            <wp:extent cx="131667" cy="95092"/>
            <wp:docPr id="24" name="Picture 24"/>
            <wp:cNvGraphicFramePr>
              <a:graphicFrameLocks noChangeAspect="1"/>
            </wp:cNvGraphicFramePr>
            <a:graphic>
              <a:graphicData uri="http://schemas.openxmlformats.org/drawingml/2006/picture">
                <pic:pic>
                  <pic:nvPicPr>
                    <pic:cNvPr id="0" name="b8353d5fd2161c3b.png"/>
                    <pic:cNvPicPr/>
                  </pic:nvPicPr>
                  <pic:blipFill>
                    <a:blip r:embed="rId32"/>
                    <a:stretch>
                      <a:fillRect/>
                    </a:stretch>
                  </pic:blipFill>
                  <pic:spPr>
                    <a:xfrm>
                      <a:off x="0" y="0"/>
                      <a:ext cx="131667" cy="95092"/>
                    </a:xfrm>
                    <a:prstGeom prst="rect"/>
                  </pic:spPr>
                </pic:pic>
              </a:graphicData>
            </a:graphic>
          </wp:inline>
        </w:drawing>
      </w:r>
      <w:r>
        <w:t xml:space="preserve"> по обучающим примерам с верной разметкой;</w:t>
      </w:r>
    </w:p>
    <w:p>
      <w:pPr>
        <w:pStyle w:val="ListBullet"/>
        <w:spacing w:before="20" w:after="20"/>
      </w:pPr>
      <w:r>
        <w:drawing>
          <wp:inline xmlns:a="http://schemas.openxmlformats.org/drawingml/2006/main" xmlns:pic="http://schemas.openxmlformats.org/drawingml/2006/picture">
            <wp:extent cx="252362" cy="128009"/>
            <wp:docPr id="25" name="Picture 25"/>
            <wp:cNvGraphicFramePr>
              <a:graphicFrameLocks noChangeAspect="1"/>
            </wp:cNvGraphicFramePr>
            <a:graphic>
              <a:graphicData uri="http://schemas.openxmlformats.org/drawingml/2006/picture">
                <pic:pic>
                  <pic:nvPicPr>
                    <pic:cNvPr id="0" name="74a53d6f12e0966f.png"/>
                    <pic:cNvPicPr/>
                  </pic:nvPicPr>
                  <pic:blipFill>
                    <a:blip r:embed="rId33"/>
                    <a:stretch>
                      <a:fillRect/>
                    </a:stretch>
                  </pic:blipFill>
                  <pic:spPr>
                    <a:xfrm>
                      <a:off x="0" y="0"/>
                      <a:ext cx="252362" cy="128009"/>
                    </a:xfrm>
                    <a:prstGeom prst="rect"/>
                  </pic:spPr>
                </pic:pic>
              </a:graphicData>
            </a:graphic>
          </wp:inline>
        </w:drawing>
      </w:r>
      <w:r>
        <w:t xml:space="preserve"> — обращение к большой языковой модели в роли запасного слоя (Слой 4). Возвращает либо значение из </w:t>
      </w:r>
      <w:r>
        <w:drawing>
          <wp:inline xmlns:a="http://schemas.openxmlformats.org/drawingml/2006/main" xmlns:pic="http://schemas.openxmlformats.org/drawingml/2006/picture">
            <wp:extent cx="117037" cy="95092"/>
            <wp:docPr id="26" name="Picture 26"/>
            <wp:cNvGraphicFramePr>
              <a:graphicFrameLocks noChangeAspect="1"/>
            </wp:cNvGraphicFramePr>
            <a:graphic>
              <a:graphicData uri="http://schemas.openxmlformats.org/drawingml/2006/picture">
                <pic:pic>
                  <pic:nvPicPr>
                    <pic:cNvPr id="0" name="41ff8f656aeca89a.png"/>
                    <pic:cNvPicPr/>
                  </pic:nvPicPr>
                  <pic:blipFill>
                    <a:blip r:embed="rId19"/>
                    <a:stretch>
                      <a:fillRect/>
                    </a:stretch>
                  </pic:blipFill>
                  <pic:spPr>
                    <a:xfrm>
                      <a:off x="0" y="0"/>
                      <a:ext cx="117037" cy="95092"/>
                    </a:xfrm>
                    <a:prstGeom prst="rect"/>
                  </pic:spPr>
                </pic:pic>
              </a:graphicData>
            </a:graphic>
          </wp:inline>
        </w:drawing>
      </w:r>
      <w:r>
        <w:t xml:space="preserve">, либо </w:t>
      </w:r>
      <w:r>
        <w:drawing>
          <wp:inline xmlns:a="http://schemas.openxmlformats.org/drawingml/2006/main" xmlns:pic="http://schemas.openxmlformats.org/drawingml/2006/picture">
            <wp:extent cx="179213" cy="76805"/>
            <wp:docPr id="27" name="Picture 27"/>
            <wp:cNvGraphicFramePr>
              <a:graphicFrameLocks noChangeAspect="1"/>
            </wp:cNvGraphicFramePr>
            <a:graphic>
              <a:graphicData uri="http://schemas.openxmlformats.org/drawingml/2006/picture">
                <pic:pic>
                  <pic:nvPicPr>
                    <pic:cNvPr id="0" name="e3c9482662a7979a.png"/>
                    <pic:cNvPicPr/>
                  </pic:nvPicPr>
                  <pic:blipFill>
                    <a:blip r:embed="rId34"/>
                    <a:stretch>
                      <a:fillRect/>
                    </a:stretch>
                  </pic:blipFill>
                  <pic:spPr>
                    <a:xfrm>
                      <a:off x="0" y="0"/>
                      <a:ext cx="179213" cy="76805"/>
                    </a:xfrm>
                    <a:prstGeom prst="rect"/>
                  </pic:spPr>
                </pic:pic>
              </a:graphicData>
            </a:graphic>
          </wp:inline>
        </w:drawing>
      </w:r>
      <w:r>
        <w:t>.</w:t>
      </w:r>
    </w:p>
    <w:p>
      <w:r>
        <w:t>Предсказание Слой 2 принимается тогда и только тогда, когда одновременно выполнены</w:t>
      </w:r>
    </w:p>
    <w:p>
      <w:pPr>
        <w:jc w:val="left"/>
      </w:pPr>
      <w:r>
        <w:drawing>
          <wp:inline xmlns:a="http://schemas.openxmlformats.org/drawingml/2006/main" xmlns:pic="http://schemas.openxmlformats.org/drawingml/2006/picture">
            <wp:extent cx="2574041" cy="182880"/>
            <wp:docPr id="28" name="Picture 28"/>
            <wp:cNvGraphicFramePr>
              <a:graphicFrameLocks noChangeAspect="1"/>
            </wp:cNvGraphicFramePr>
            <a:graphic>
              <a:graphicData uri="http://schemas.openxmlformats.org/drawingml/2006/picture">
                <pic:pic>
                  <pic:nvPicPr>
                    <pic:cNvPr id="0" name="fefc9f8c6062ecef.png"/>
                    <pic:cNvPicPr/>
                  </pic:nvPicPr>
                  <pic:blipFill>
                    <a:blip r:embed="rId35"/>
                    <a:stretch>
                      <a:fillRect/>
                    </a:stretch>
                  </pic:blipFill>
                  <pic:spPr>
                    <a:xfrm>
                      <a:off x="0" y="0"/>
                      <a:ext cx="2574041" cy="182880"/>
                    </a:xfrm>
                    <a:prstGeom prst="rect"/>
                  </pic:spPr>
                </pic:pic>
              </a:graphicData>
            </a:graphic>
          </wp:inline>
        </w:drawing>
      </w:r>
    </w:p>
    <w:p>
      <w:r>
        <w:t>Это конъюнктивное условие реализует многоуровневую фильтрацию по уверенности и формализует требование темы об ансамблевой оценке уверенности — не параллельное голосование, а последовательная фильтрация, где каждый слой имеет калиброванный порог и вправе отказаться, передав решение следующему слою.</w:t>
      </w:r>
    </w:p>
    <w:p>
      <w:r>
        <w:t xml:space="preserve">Условие </w:t>
      </w:r>
      <w:r>
        <w:drawing>
          <wp:inline xmlns:a="http://schemas.openxmlformats.org/drawingml/2006/main" xmlns:pic="http://schemas.openxmlformats.org/drawingml/2006/picture">
            <wp:extent cx="387686" cy="95092"/>
            <wp:docPr id="29" name="Picture 29"/>
            <wp:cNvGraphicFramePr>
              <a:graphicFrameLocks noChangeAspect="1"/>
            </wp:cNvGraphicFramePr>
            <a:graphic>
              <a:graphicData uri="http://schemas.openxmlformats.org/drawingml/2006/picture">
                <pic:pic>
                  <pic:nvPicPr>
                    <pic:cNvPr id="0" name="0b040d6bb34a1b95.png"/>
                    <pic:cNvPicPr/>
                  </pic:nvPicPr>
                  <pic:blipFill>
                    <a:blip r:embed="rId36"/>
                    <a:stretch>
                      <a:fillRect/>
                    </a:stretch>
                  </pic:blipFill>
                  <pic:spPr>
                    <a:xfrm>
                      <a:off x="0" y="0"/>
                      <a:ext cx="387686" cy="95092"/>
                    </a:xfrm>
                    <a:prstGeom prst="rect"/>
                  </pic:spPr>
                </pic:pic>
              </a:graphicData>
            </a:graphic>
          </wp:inline>
        </w:drawing>
      </w:r>
      <w:r>
        <w:t xml:space="preserve"> задаёт общую форму. По итогам 3.3.4 в финальную конфигурацию валидатор включён селективно: активен только на парах «категория — атрибут» с неотрицательным приростом, иначе порог </w:t>
      </w:r>
      <w:r>
        <w:drawing>
          <wp:inline xmlns:a="http://schemas.openxmlformats.org/drawingml/2006/main" xmlns:pic="http://schemas.openxmlformats.org/drawingml/2006/picture">
            <wp:extent cx="91435" cy="95092"/>
            <wp:docPr id="30" name="Picture 30"/>
            <wp:cNvGraphicFramePr>
              <a:graphicFrameLocks noChangeAspect="1"/>
            </wp:cNvGraphicFramePr>
            <a:graphic>
              <a:graphicData uri="http://schemas.openxmlformats.org/drawingml/2006/picture">
                <pic:pic>
                  <pic:nvPicPr>
                    <pic:cNvPr id="0" name="a24c84deb82efd05.png"/>
                    <pic:cNvPicPr/>
                  </pic:nvPicPr>
                  <pic:blipFill>
                    <a:blip r:embed="rId31"/>
                    <a:stretch>
                      <a:fillRect/>
                    </a:stretch>
                  </pic:blipFill>
                  <pic:spPr>
                    <a:xfrm>
                      <a:off x="0" y="0"/>
                      <a:ext cx="91435" cy="95092"/>
                    </a:xfrm>
                    <a:prstGeom prst="rect"/>
                  </pic:spPr>
                </pic:pic>
              </a:graphicData>
            </a:graphic>
          </wp:inline>
        </w:drawing>
      </w:r>
      <w:r>
        <w:t xml:space="preserve"> устанавливается так, что условие не отсекает Слой 2.</w:t>
      </w:r>
    </w:p>
    <w:p>
      <w:r>
        <w:t>Схема обладает тремя полезными свойствами: (1) стратифицированное решение — простые случаи закрываются дешёвым Слой 1, средние — Слой 2, трудный остаток — дорогим Слой 4; слои упорядочены по росту стоимости. (2) Композициональная отбраковка — валидатор работает после классификатора, отбраковывая статистически невероятные пары «бренд × значение» (закрывает требование темы об автоматической отбраковке). (3) Архитектурная объяснимость — для каждого предсказания известно, какой слой принял решение, что даёт локальную интерпретируемость даже при черноящичном классификаторе в середине.</w:t>
      </w:r>
    </w:p>
    <w:p>
      <w:pPr>
        <w:pStyle w:val="Heading3"/>
      </w:pPr>
      <w:r>
        <w:rPr>
          <w:rFonts w:ascii="Times New Roman" w:hAnsi="Times New Roman"/>
          <w:color w:val="000000"/>
        </w:rPr>
        <w:t>2.1.3 Поведение системы при выходе категории за пределы поддерживаемых</w:t>
      </w:r>
    </w:p>
    <w:p>
      <w:r>
        <w:t xml:space="preserve">Слой 0 определяет </w:t>
      </w:r>
      <w:r>
        <w:drawing>
          <wp:inline xmlns:a="http://schemas.openxmlformats.org/drawingml/2006/main" xmlns:pic="http://schemas.openxmlformats.org/drawingml/2006/picture">
            <wp:extent cx="435233" cy="113380"/>
            <wp:docPr id="31" name="Picture 31"/>
            <wp:cNvGraphicFramePr>
              <a:graphicFrameLocks noChangeAspect="1"/>
            </wp:cNvGraphicFramePr>
            <a:graphic>
              <a:graphicData uri="http://schemas.openxmlformats.org/drawingml/2006/picture">
                <pic:pic>
                  <pic:nvPicPr>
                    <pic:cNvPr id="0" name="26f8da59e1832e02.png"/>
                    <pic:cNvPicPr/>
                  </pic:nvPicPr>
                  <pic:blipFill>
                    <a:blip r:embed="rId37"/>
                    <a:stretch>
                      <a:fillRect/>
                    </a:stretch>
                  </pic:blipFill>
                  <pic:spPr>
                    <a:xfrm>
                      <a:off x="0" y="0"/>
                      <a:ext cx="435233" cy="113380"/>
                    </a:xfrm>
                    <a:prstGeom prst="rect"/>
                  </pic:spPr>
                </pic:pic>
              </a:graphicData>
            </a:graphic>
          </wp:inline>
        </w:drawing>
      </w:r>
      <w:r>
        <w:t xml:space="preserve"> до запуска каскада. Если достоверность ниже порога OOD-детектора, товару присваивается метка OOD и система возвращает «категория не поддерживается»: </w:t>
      </w:r>
      <w:r>
        <w:drawing>
          <wp:inline xmlns:a="http://schemas.openxmlformats.org/drawingml/2006/main" xmlns:pic="http://schemas.openxmlformats.org/drawingml/2006/picture">
            <wp:extent cx="1060652" cy="113380"/>
            <wp:docPr id="32" name="Picture 32"/>
            <wp:cNvGraphicFramePr>
              <a:graphicFrameLocks noChangeAspect="1"/>
            </wp:cNvGraphicFramePr>
            <a:graphic>
              <a:graphicData uri="http://schemas.openxmlformats.org/drawingml/2006/picture">
                <pic:pic>
                  <pic:nvPicPr>
                    <pic:cNvPr id="0" name="35c082a893b9f09b.png"/>
                    <pic:cNvPicPr/>
                  </pic:nvPicPr>
                  <pic:blipFill>
                    <a:blip r:embed="rId38"/>
                    <a:stretch>
                      <a:fillRect/>
                    </a:stretch>
                  </pic:blipFill>
                  <pic:spPr>
                    <a:xfrm>
                      <a:off x="0" y="0"/>
                      <a:ext cx="1060652" cy="113380"/>
                    </a:xfrm>
                    <a:prstGeom prst="rect"/>
                  </pic:spPr>
                </pic:pic>
              </a:graphicData>
            </a:graphic>
          </wp:inline>
        </w:drawing>
      </w:r>
      <w:r>
        <w:t xml:space="preserve"> запуск per-category каскада со схемой </w:t>
      </w:r>
      <w:r>
        <w:drawing>
          <wp:inline xmlns:a="http://schemas.openxmlformats.org/drawingml/2006/main" xmlns:pic="http://schemas.openxmlformats.org/drawingml/2006/picture">
            <wp:extent cx="281621" cy="124352"/>
            <wp:docPr id="33" name="Picture 33"/>
            <wp:cNvGraphicFramePr>
              <a:graphicFrameLocks noChangeAspect="1"/>
            </wp:cNvGraphicFramePr>
            <a:graphic>
              <a:graphicData uri="http://schemas.openxmlformats.org/drawingml/2006/picture">
                <pic:pic>
                  <pic:nvPicPr>
                    <pic:cNvPr id="0" name="4f09848e1f9339ef.png"/>
                    <pic:cNvPicPr/>
                  </pic:nvPicPr>
                  <pic:blipFill>
                    <a:blip r:embed="rId39"/>
                    <a:stretch>
                      <a:fillRect/>
                    </a:stretch>
                  </pic:blipFill>
                  <pic:spPr>
                    <a:xfrm>
                      <a:off x="0" y="0"/>
                      <a:ext cx="281621" cy="124352"/>
                    </a:xfrm>
                    <a:prstGeom prst="rect"/>
                  </pic:spPr>
                </pic:pic>
              </a:graphicData>
            </a:graphic>
          </wp:inline>
        </w:drawing>
      </w:r>
      <w:r>
        <w:t xml:space="preserve">; </w:t>
      </w:r>
      <w:r>
        <w:drawing>
          <wp:inline xmlns:a="http://schemas.openxmlformats.org/drawingml/2006/main" xmlns:pic="http://schemas.openxmlformats.org/drawingml/2006/picture">
            <wp:extent cx="1115513" cy="113380"/>
            <wp:docPr id="34" name="Picture 34"/>
            <wp:cNvGraphicFramePr>
              <a:graphicFrameLocks noChangeAspect="1"/>
            </wp:cNvGraphicFramePr>
            <a:graphic>
              <a:graphicData uri="http://schemas.openxmlformats.org/drawingml/2006/picture">
                <pic:pic>
                  <pic:nvPicPr>
                    <pic:cNvPr id="0" name="aa0ca2beef6820ee.png"/>
                    <pic:cNvPicPr/>
                  </pic:nvPicPr>
                  <pic:blipFill>
                    <a:blip r:embed="rId40"/>
                    <a:stretch>
                      <a:fillRect/>
                    </a:stretch>
                  </pic:blipFill>
                  <pic:spPr>
                    <a:xfrm>
                      <a:off x="0" y="0"/>
                      <a:ext cx="1115513" cy="113380"/>
                    </a:xfrm>
                    <a:prstGeom prst="rect"/>
                  </pic:spPr>
                </pic:pic>
              </a:graphicData>
            </a:graphic>
          </wp:inline>
        </w:drawing>
      </w:r>
      <w:r>
        <w:t>. Явный отказ выбран по соображениям эксплуатационной безопасности: ошибочное отнесение к чужой категории даёт неверную схему всем атрибутам, что заметно хуже честного отказа.</w:t>
      </w:r>
    </w:p>
    <w:p>
      <w:pPr>
        <w:pStyle w:val="Heading3"/>
      </w:pPr>
      <w:r>
        <w:rPr>
          <w:rFonts w:ascii="Times New Roman" w:hAnsi="Times New Roman"/>
          <w:color w:val="000000"/>
        </w:rPr>
        <w:t>2.1.4 Метрики качества и стоимости</w:t>
      </w:r>
    </w:p>
    <w:p>
      <w:r>
        <w:t>Каскад поддерживает явный отказ от ответа; используются две согласованные метрики и одна сводная.</w:t>
      </w:r>
    </w:p>
    <w:p>
      <w:r>
        <w:t>Точность на покрытой части — доля верных предсказаний среди ячеек с непустым ответом:</w:t>
      </w:r>
    </w:p>
    <w:p>
      <w:pPr>
        <w:jc w:val="left"/>
      </w:pPr>
      <w:r>
        <w:drawing>
          <wp:inline xmlns:a="http://schemas.openxmlformats.org/drawingml/2006/main" xmlns:pic="http://schemas.openxmlformats.org/drawingml/2006/picture">
            <wp:extent cx="2578613" cy="457200"/>
            <wp:docPr id="35" name="Picture 35"/>
            <wp:cNvGraphicFramePr>
              <a:graphicFrameLocks noChangeAspect="1"/>
            </wp:cNvGraphicFramePr>
            <a:graphic>
              <a:graphicData uri="http://schemas.openxmlformats.org/drawingml/2006/picture">
                <pic:pic>
                  <pic:nvPicPr>
                    <pic:cNvPr id="0" name="a24010bf8103f03c.png"/>
                    <pic:cNvPicPr/>
                  </pic:nvPicPr>
                  <pic:blipFill>
                    <a:blip r:embed="rId41"/>
                    <a:stretch>
                      <a:fillRect/>
                    </a:stretch>
                  </pic:blipFill>
                  <pic:spPr>
                    <a:xfrm>
                      <a:off x="0" y="0"/>
                      <a:ext cx="2578613" cy="457200"/>
                    </a:xfrm>
                    <a:prstGeom prst="rect"/>
                  </pic:spPr>
                </pic:pic>
              </a:graphicData>
            </a:graphic>
          </wp:inline>
        </w:drawing>
      </w:r>
    </w:p>
    <w:p>
      <w:r>
        <w:t>Покрытие (coverage) — доля ячеек, на которых система решилась дать ответ:</w:t>
      </w:r>
    </w:p>
    <w:p>
      <w:pPr>
        <w:jc w:val="left"/>
      </w:pPr>
      <w:r>
        <w:drawing>
          <wp:inline xmlns:a="http://schemas.openxmlformats.org/drawingml/2006/main" xmlns:pic="http://schemas.openxmlformats.org/drawingml/2006/picture">
            <wp:extent cx="1618491" cy="370332"/>
            <wp:docPr id="36" name="Picture 36"/>
            <wp:cNvGraphicFramePr>
              <a:graphicFrameLocks noChangeAspect="1"/>
            </wp:cNvGraphicFramePr>
            <a:graphic>
              <a:graphicData uri="http://schemas.openxmlformats.org/drawingml/2006/picture">
                <pic:pic>
                  <pic:nvPicPr>
                    <pic:cNvPr id="0" name="28b4cf3bb01da792.png"/>
                    <pic:cNvPicPr/>
                  </pic:nvPicPr>
                  <pic:blipFill>
                    <a:blip r:embed="rId42"/>
                    <a:stretch>
                      <a:fillRect/>
                    </a:stretch>
                  </pic:blipFill>
                  <pic:spPr>
                    <a:xfrm>
                      <a:off x="0" y="0"/>
                      <a:ext cx="1618491" cy="370332"/>
                    </a:xfrm>
                    <a:prstGeom prst="rect"/>
                  </pic:spPr>
                </pic:pic>
              </a:graphicData>
            </a:graphic>
          </wp:inline>
        </w:drawing>
      </w:r>
    </w:p>
    <w:p>
      <w:r>
        <w:t xml:space="preserve">где </w:t>
      </w:r>
      <w:r>
        <w:drawing>
          <wp:inline xmlns:a="http://schemas.openxmlformats.org/drawingml/2006/main" xmlns:pic="http://schemas.openxmlformats.org/drawingml/2006/picture">
            <wp:extent cx="95092" cy="76805"/>
            <wp:docPr id="37" name="Picture 37"/>
            <wp:cNvGraphicFramePr>
              <a:graphicFrameLocks noChangeAspect="1"/>
            </wp:cNvGraphicFramePr>
            <a:graphic>
              <a:graphicData uri="http://schemas.openxmlformats.org/drawingml/2006/picture">
                <pic:pic>
                  <pic:nvPicPr>
                    <pic:cNvPr id="0" name="b81e1066de7ca8b2.png"/>
                    <pic:cNvPicPr/>
                  </pic:nvPicPr>
                  <pic:blipFill>
                    <a:blip r:embed="rId43"/>
                    <a:stretch>
                      <a:fillRect/>
                    </a:stretch>
                  </pic:blipFill>
                  <pic:spPr>
                    <a:xfrm>
                      <a:off x="0" y="0"/>
                      <a:ext cx="95092" cy="76805"/>
                    </a:xfrm>
                    <a:prstGeom prst="rect"/>
                  </pic:spPr>
                </pic:pic>
              </a:graphicData>
            </a:graphic>
          </wp:inline>
        </w:drawing>
      </w:r>
      <w:r>
        <w:t xml:space="preserve"> — мощность проверочной выборки.</w:t>
      </w:r>
    </w:p>
    <w:p>
      <w:r>
        <w:t xml:space="preserve">Сквозная точность (end-to-end accuracy). Чтобы предотвратить искусственное завышение качества за счёт молчания, ячейки с </w:t>
      </w:r>
      <w:r>
        <w:drawing>
          <wp:inline xmlns:a="http://schemas.openxmlformats.org/drawingml/2006/main" xmlns:pic="http://schemas.openxmlformats.org/drawingml/2006/picture">
            <wp:extent cx="490094" cy="157269"/>
            <wp:docPr id="38" name="Picture 38"/>
            <wp:cNvGraphicFramePr>
              <a:graphicFrameLocks noChangeAspect="1"/>
            </wp:cNvGraphicFramePr>
            <a:graphic>
              <a:graphicData uri="http://schemas.openxmlformats.org/drawingml/2006/picture">
                <pic:pic>
                  <pic:nvPicPr>
                    <pic:cNvPr id="0" name="0f282e22d8b22dca.png"/>
                    <pic:cNvPicPr/>
                  </pic:nvPicPr>
                  <pic:blipFill>
                    <a:blip r:embed="rId44"/>
                    <a:stretch>
                      <a:fillRect/>
                    </a:stretch>
                  </pic:blipFill>
                  <pic:spPr>
                    <a:xfrm>
                      <a:off x="0" y="0"/>
                      <a:ext cx="490094" cy="157269"/>
                    </a:xfrm>
                    <a:prstGeom prst="rect"/>
                  </pic:spPr>
                </pic:pic>
              </a:graphicData>
            </a:graphic>
          </wp:inline>
        </w:drawing>
      </w:r>
      <w:r>
        <w:t xml:space="preserve"> засчитываются как неверные:</w:t>
      </w:r>
    </w:p>
    <w:p>
      <w:pPr>
        <w:jc w:val="left"/>
      </w:pPr>
      <w:r>
        <w:drawing>
          <wp:inline xmlns:a="http://schemas.openxmlformats.org/drawingml/2006/main" xmlns:pic="http://schemas.openxmlformats.org/drawingml/2006/picture">
            <wp:extent cx="1344170" cy="169164"/>
            <wp:docPr id="39" name="Picture 39"/>
            <wp:cNvGraphicFramePr>
              <a:graphicFrameLocks noChangeAspect="1"/>
            </wp:cNvGraphicFramePr>
            <a:graphic>
              <a:graphicData uri="http://schemas.openxmlformats.org/drawingml/2006/picture">
                <pic:pic>
                  <pic:nvPicPr>
                    <pic:cNvPr id="0" name="e578d745d0e90ff1.png"/>
                    <pic:cNvPicPr/>
                  </pic:nvPicPr>
                  <pic:blipFill>
                    <a:blip r:embed="rId45"/>
                    <a:stretch>
                      <a:fillRect/>
                    </a:stretch>
                  </pic:blipFill>
                  <pic:spPr>
                    <a:xfrm>
                      <a:off x="0" y="0"/>
                      <a:ext cx="1344170" cy="169164"/>
                    </a:xfrm>
                    <a:prstGeom prst="rect"/>
                  </pic:spPr>
                </pic:pic>
              </a:graphicData>
            </a:graphic>
          </wp:inline>
        </w:drawing>
      </w:r>
    </w:p>
    <w:p>
      <w:r>
        <w:t xml:space="preserve">Сквозная точность является основной метрикой работы и используется в качестве заголовочного числа (3.3.2). Раздельный учёт </w:t>
      </w:r>
      <w:r>
        <w:drawing>
          <wp:inline xmlns:a="http://schemas.openxmlformats.org/drawingml/2006/main" xmlns:pic="http://schemas.openxmlformats.org/drawingml/2006/picture">
            <wp:extent cx="274306" cy="80463"/>
            <wp:docPr id="40" name="Picture 40"/>
            <wp:cNvGraphicFramePr>
              <a:graphicFrameLocks noChangeAspect="1"/>
            </wp:cNvGraphicFramePr>
            <a:graphic>
              <a:graphicData uri="http://schemas.openxmlformats.org/drawingml/2006/picture">
                <pic:pic>
                  <pic:nvPicPr>
                    <pic:cNvPr id="0" name="9036cced41a3626e.png"/>
                    <pic:cNvPicPr/>
                  </pic:nvPicPr>
                  <pic:blipFill>
                    <a:blip r:embed="rId46"/>
                    <a:stretch>
                      <a:fillRect/>
                    </a:stretch>
                  </pic:blipFill>
                  <pic:spPr>
                    <a:xfrm>
                      <a:off x="0" y="0"/>
                      <a:ext cx="274306" cy="80463"/>
                    </a:xfrm>
                    <a:prstGeom prst="rect"/>
                  </pic:spPr>
                </pic:pic>
              </a:graphicData>
            </a:graphic>
          </wp:inline>
        </w:drawing>
      </w:r>
      <w:r>
        <w:t xml:space="preserve"> и </w:t>
      </w:r>
      <w:r>
        <w:drawing>
          <wp:inline xmlns:a="http://schemas.openxmlformats.org/drawingml/2006/main" xmlns:pic="http://schemas.openxmlformats.org/drawingml/2006/picture">
            <wp:extent cx="157269" cy="47546"/>
            <wp:docPr id="41" name="Picture 41"/>
            <wp:cNvGraphicFramePr>
              <a:graphicFrameLocks noChangeAspect="1"/>
            </wp:cNvGraphicFramePr>
            <a:graphic>
              <a:graphicData uri="http://schemas.openxmlformats.org/drawingml/2006/picture">
                <pic:pic>
                  <pic:nvPicPr>
                    <pic:cNvPr id="0" name="091dd89c6a342bc6.png"/>
                    <pic:cNvPicPr/>
                  </pic:nvPicPr>
                  <pic:blipFill>
                    <a:blip r:embed="rId47"/>
                    <a:stretch>
                      <a:fillRect/>
                    </a:stretch>
                  </pic:blipFill>
                  <pic:spPr>
                    <a:xfrm>
                      <a:off x="0" y="0"/>
                      <a:ext cx="157269" cy="47546"/>
                    </a:xfrm>
                    <a:prstGeom prst="rect"/>
                  </pic:spPr>
                </pic:pic>
              </a:graphicData>
            </a:graphic>
          </wp:inline>
        </w:drawing>
      </w:r>
      <w:r>
        <w:t xml:space="preserve"> необходим для добросовестного сравнения каскада с конфигурациями, в которых отказ от ответа невозможен. К таким конфигурациям относится, например, сценарий end-to-end LLM.</w:t>
      </w:r>
    </w:p>
    <w:p>
      <w:r>
        <w:t>Стоимость. В качестве архитектурной метрики стоимости используется ожидаемая доля вызовов запасного слоя, нормированная на 1000 обработанных ячеек:</w:t>
      </w:r>
    </w:p>
    <w:p>
      <w:pPr>
        <w:jc w:val="left"/>
      </w:pPr>
      <w:r>
        <w:drawing>
          <wp:inline xmlns:a="http://schemas.openxmlformats.org/drawingml/2006/main" xmlns:pic="http://schemas.openxmlformats.org/drawingml/2006/picture">
            <wp:extent cx="4096520" cy="438912"/>
            <wp:docPr id="42" name="Picture 42"/>
            <wp:cNvGraphicFramePr>
              <a:graphicFrameLocks noChangeAspect="1"/>
            </wp:cNvGraphicFramePr>
            <a:graphic>
              <a:graphicData uri="http://schemas.openxmlformats.org/drawingml/2006/picture">
                <pic:pic>
                  <pic:nvPicPr>
                    <pic:cNvPr id="0" name="fc59ee1300729920.png"/>
                    <pic:cNvPicPr/>
                  </pic:nvPicPr>
                  <pic:blipFill>
                    <a:blip r:embed="rId48"/>
                    <a:stretch>
                      <a:fillRect/>
                    </a:stretch>
                  </pic:blipFill>
                  <pic:spPr>
                    <a:xfrm>
                      <a:off x="0" y="0"/>
                      <a:ext cx="4096520" cy="438912"/>
                    </a:xfrm>
                    <a:prstGeom prst="rect"/>
                  </pic:spPr>
                </pic:pic>
              </a:graphicData>
            </a:graphic>
          </wp:inline>
        </w:drawing>
      </w:r>
    </w:p>
    <w:p>
      <w:r>
        <w:t xml:space="preserve">Метрика инвариантна к выбору модели запасного слоя и характеризует структуру каскада. Для экономического сопоставления (3.3.2) она умножается на удельную стоимость провайдера и нормируется относительно стратегии «все ячейки решаются Sonnet 4.5». Совместный анализ </w:t>
      </w:r>
      <w:r>
        <w:drawing>
          <wp:inline xmlns:a="http://schemas.openxmlformats.org/drawingml/2006/main" xmlns:pic="http://schemas.openxmlformats.org/drawingml/2006/picture">
            <wp:extent cx="782688" cy="124352"/>
            <wp:docPr id="43" name="Picture 43"/>
            <wp:cNvGraphicFramePr>
              <a:graphicFrameLocks noChangeAspect="1"/>
            </wp:cNvGraphicFramePr>
            <a:graphic>
              <a:graphicData uri="http://schemas.openxmlformats.org/drawingml/2006/picture">
                <pic:pic>
                  <pic:nvPicPr>
                    <pic:cNvPr id="0" name="0fc96c08e81d0562.png"/>
                    <pic:cNvPicPr/>
                  </pic:nvPicPr>
                  <pic:blipFill>
                    <a:blip r:embed="rId49"/>
                    <a:stretch>
                      <a:fillRect/>
                    </a:stretch>
                  </pic:blipFill>
                  <pic:spPr>
                    <a:xfrm>
                      <a:off x="0" y="0"/>
                      <a:ext cx="782688" cy="124352"/>
                    </a:xfrm>
                    <a:prstGeom prst="rect"/>
                  </pic:spPr>
                </pic:pic>
              </a:graphicData>
            </a:graphic>
          </wp:inline>
        </w:drawing>
      </w:r>
      <w:r>
        <w:t xml:space="preserve"> образует матрицу «точность — стоимость», на которой строится заголовочный результат (3.3.2).</w:t>
      </w:r>
    </w:p>
    <w:p>
      <w:pPr>
        <w:pStyle w:val="Heading2"/>
      </w:pPr>
      <w:r>
        <w:rPr>
          <w:rFonts w:ascii="Times New Roman" w:hAnsi="Times New Roman"/>
          <w:color w:val="000000"/>
        </w:rPr>
        <w:t>2.2 Архитектура и стек технологий</w:t>
      </w:r>
    </w:p>
    <w:p>
      <w:r>
        <w:t>В разделе описывается архитектурное решение, реализующее формальную постановку 2.1, и обосновывается выбор каждой компоненты стека.</w:t>
      </w:r>
    </w:p>
    <w:p>
      <w:pPr>
        <w:pStyle w:val="Heading3"/>
      </w:pPr>
      <w:r>
        <w:rPr>
          <w:rFonts w:ascii="Times New Roman" w:hAnsi="Times New Roman"/>
          <w:color w:val="000000"/>
        </w:rPr>
        <w:t>2.2.1 Архитектура системы</w:t>
      </w:r>
    </w:p>
    <w:p>
      <w:r>
        <w:t>Функциональная модель системы в виде диаграммы потоков данных приведена на рисунке 2.1. Внешние акторы (партнёр-продавец и витрина каталога интернет-магазина) обмениваются данными со шлюзом API и ML-сервисом, который содержит каскад из пяти слоёв и обращается к хранилищам моделей XGBoost, байесовских сетей и внешнему API большой языковой модели.</w:t>
      </w:r>
    </w:p>
    <w:p>
      <w:pPr>
        <w:jc w:val="left"/>
      </w:pPr>
      <w:r>
        <w:drawing>
          <wp:inline xmlns:a="http://schemas.openxmlformats.org/drawingml/2006/main" xmlns:pic="http://schemas.openxmlformats.org/drawingml/2006/picture">
            <wp:extent cx="5733288" cy="3319510"/>
            <wp:docPr id="44" name="Picture 44"/>
            <wp:cNvGraphicFramePr>
              <a:graphicFrameLocks noChangeAspect="1"/>
            </wp:cNvGraphicFramePr>
            <a:graphic>
              <a:graphicData uri="http://schemas.openxmlformats.org/drawingml/2006/picture">
                <pic:pic>
                  <pic:nvPicPr>
                    <pic:cNvPr id="0" name="fig_2_1_functional_model.png"/>
                    <pic:cNvPicPr/>
                  </pic:nvPicPr>
                  <pic:blipFill>
                    <a:blip r:embed="rId50"/>
                    <a:stretch>
                      <a:fillRect/>
                    </a:stretch>
                  </pic:blipFill>
                  <pic:spPr>
                    <a:xfrm>
                      <a:off x="0" y="0"/>
                      <a:ext cx="5733288" cy="3319510"/>
                    </a:xfrm>
                    <a:prstGeom prst="rect"/>
                  </pic:spPr>
                </pic:pic>
              </a:graphicData>
            </a:graphic>
          </wp:inline>
        </w:drawing>
      </w:r>
    </w:p>
    <w:p>
      <w:pPr>
        <w:jc w:val="left"/>
        <w:ind w:firstLine="0"/>
      </w:pPr>
      <w:r>
        <w:t>Рисунок 2.1 — Функциональная модель системы обогащения товарных данных</w:t>
      </w:r>
    </w:p>
    <w:p>
      <w:r>
        <w:t>Система реализована как пятислойный конвейер (Слой 0 + четыре содержательных слоя). Состав и роль каждого слоя:</w:t>
      </w:r>
    </w:p>
    <w:p>
      <w:pPr>
        <w:pStyle w:val="ListBullet"/>
        <w:spacing w:before="20" w:after="20"/>
      </w:pPr>
      <w:r>
        <w:rPr>
          <w:b/>
        </w:rPr>
        <w:t>Слой 0 — категорайзер.</w:t>
      </w:r>
      <w:r>
        <w:t xml:space="preserve"> LightGBM поверх TF-IDF-представления названия и бренда с порогом OOD; определяет </w:t>
      </w:r>
      <w:r>
        <w:drawing>
          <wp:inline xmlns:a="http://schemas.openxmlformats.org/drawingml/2006/main" xmlns:pic="http://schemas.openxmlformats.org/drawingml/2006/picture">
            <wp:extent cx="245047" cy="84120"/>
            <wp:docPr id="45" name="Picture 45"/>
            <wp:cNvGraphicFramePr>
              <a:graphicFrameLocks noChangeAspect="1"/>
            </wp:cNvGraphicFramePr>
            <a:graphic>
              <a:graphicData uri="http://schemas.openxmlformats.org/drawingml/2006/picture">
                <pic:pic>
                  <pic:nvPicPr>
                    <pic:cNvPr id="0" name="a4e338d270ecbbf7.png"/>
                    <pic:cNvPicPr/>
                  </pic:nvPicPr>
                  <pic:blipFill>
                    <a:blip r:embed="rId51"/>
                    <a:stretch>
                      <a:fillRect/>
                    </a:stretch>
                  </pic:blipFill>
                  <pic:spPr>
                    <a:xfrm>
                      <a:off x="0" y="0"/>
                      <a:ext cx="245047" cy="84120"/>
                    </a:xfrm>
                    <a:prstGeom prst="rect"/>
                  </pic:spPr>
                </pic:pic>
              </a:graphicData>
            </a:graphic>
          </wp:inline>
        </w:drawing>
      </w:r>
      <w:r>
        <w:t xml:space="preserve"> либо относит к OOD.</w:t>
      </w:r>
    </w:p>
    <w:p>
      <w:pPr>
        <w:pStyle w:val="ListBullet"/>
        <w:spacing w:before="20" w:after="20"/>
      </w:pPr>
      <w:r>
        <w:rPr>
          <w:b/>
        </w:rPr>
        <w:t>Слой 1 — экстрактор регулярных выражений.</w:t>
      </w:r>
      <w:r>
        <w:t xml:space="preserve"> Извлекает значения, явно присутствующие в тексте (форма пасты, % какао, цельнозерновой, шаблоны количества). Применяется только к шаблонам с высокой точностью совпадения.</w:t>
      </w:r>
    </w:p>
    <w:p>
      <w:pPr>
        <w:pStyle w:val="ListBullet"/>
        <w:spacing w:before="20" w:after="20"/>
      </w:pPr>
      <w:r>
        <w:rPr>
          <w:b/>
        </w:rPr>
        <w:t>Слой 2 — классификатор машинного обучения.</w:t>
      </w:r>
      <w:r>
        <w:t xml:space="preserve"> Основной слой: партнёр-доступные поля конкатенируются и кодируются SBERT в 384-мерный вектор; поатрибутный XGBoost с порогом </w:t>
      </w:r>
      <w:r>
        <w:drawing>
          <wp:inline xmlns:a="http://schemas.openxmlformats.org/drawingml/2006/main" xmlns:pic="http://schemas.openxmlformats.org/drawingml/2006/picture">
            <wp:extent cx="91435" cy="65833"/>
            <wp:docPr id="46" name="Picture 46"/>
            <wp:cNvGraphicFramePr>
              <a:graphicFrameLocks noChangeAspect="1"/>
            </wp:cNvGraphicFramePr>
            <a:graphic>
              <a:graphicData uri="http://schemas.openxmlformats.org/drawingml/2006/picture">
                <pic:pic>
                  <pic:nvPicPr>
                    <pic:cNvPr id="0" name="7e79236b60771829.png"/>
                    <pic:cNvPicPr/>
                  </pic:nvPicPr>
                  <pic:blipFill>
                    <a:blip r:embed="rId28"/>
                    <a:stretch>
                      <a:fillRect/>
                    </a:stretch>
                  </pic:blipFill>
                  <pic:spPr>
                    <a:xfrm>
                      <a:off x="0" y="0"/>
                      <a:ext cx="91435" cy="65833"/>
                    </a:xfrm>
                    <a:prstGeom prst="rect"/>
                  </pic:spPr>
                </pic:pic>
              </a:graphicData>
            </a:graphic>
          </wp:inline>
        </w:drawing>
      </w:r>
      <w:r>
        <w:t xml:space="preserve"> на отложенной выборке. Изотоническая пост-калибровка исследована в двух режимах (3.3.3.3): серебряная деградирует на эталоне из-за дрейфа; перекрёстная на эталонной выборке даёт улучшение ECE с 0,070 до 0,043 (в производственную конфигурацию не включена).</w:t>
      </w:r>
    </w:p>
    <w:p>
      <w:pPr>
        <w:pStyle w:val="ListBullet"/>
        <w:spacing w:before="20" w:after="20"/>
      </w:pPr>
      <w:r>
        <w:rPr>
          <w:b/>
        </w:rPr>
        <w:t>Слой 3 — байесовский валидатор.</w:t>
      </w:r>
      <w:r>
        <w:t xml:space="preserve"> Сеть (структура — Hill Climb + BIC) вычисляет </w:t>
      </w:r>
      <w:r>
        <w:drawing>
          <wp:inline xmlns:a="http://schemas.openxmlformats.org/drawingml/2006/main" xmlns:pic="http://schemas.openxmlformats.org/drawingml/2006/picture">
            <wp:extent cx="475464" cy="113380"/>
            <wp:docPr id="47" name="Picture 47"/>
            <wp:cNvGraphicFramePr>
              <a:graphicFrameLocks noChangeAspect="1"/>
            </wp:cNvGraphicFramePr>
            <a:graphic>
              <a:graphicData uri="http://schemas.openxmlformats.org/drawingml/2006/picture">
                <pic:pic>
                  <pic:nvPicPr>
                    <pic:cNvPr id="0" name="a1f84c33cf82fe6e.png"/>
                    <pic:cNvPicPr/>
                  </pic:nvPicPr>
                  <pic:blipFill>
                    <a:blip r:embed="rId29"/>
                    <a:stretch>
                      <a:fillRect/>
                    </a:stretch>
                  </pic:blipFill>
                  <pic:spPr>
                    <a:xfrm>
                      <a:off x="0" y="0"/>
                      <a:ext cx="475464" cy="113380"/>
                    </a:xfrm>
                    <a:prstGeom prst="rect"/>
                  </pic:spPr>
                </pic:pic>
              </a:graphicData>
            </a:graphic>
          </wp:inline>
        </w:drawing>
      </w:r>
      <w:r>
        <w:t xml:space="preserve">; ниже порога </w:t>
      </w:r>
      <w:r>
        <w:drawing>
          <wp:inline xmlns:a="http://schemas.openxmlformats.org/drawingml/2006/main" xmlns:pic="http://schemas.openxmlformats.org/drawingml/2006/picture">
            <wp:extent cx="91435" cy="95092"/>
            <wp:docPr id="48" name="Picture 48"/>
            <wp:cNvGraphicFramePr>
              <a:graphicFrameLocks noChangeAspect="1"/>
            </wp:cNvGraphicFramePr>
            <a:graphic>
              <a:graphicData uri="http://schemas.openxmlformats.org/drawingml/2006/picture">
                <pic:pic>
                  <pic:nvPicPr>
                    <pic:cNvPr id="0" name="a24c84deb82efd05.png"/>
                    <pic:cNvPicPr/>
                  </pic:nvPicPr>
                  <pic:blipFill>
                    <a:blip r:embed="rId31"/>
                    <a:stretch>
                      <a:fillRect/>
                    </a:stretch>
                  </pic:blipFill>
                  <pic:spPr>
                    <a:xfrm>
                      <a:off x="0" y="0"/>
                      <a:ext cx="91435" cy="95092"/>
                    </a:xfrm>
                    <a:prstGeom prst="rect"/>
                  </pic:spPr>
                </pic:pic>
              </a:graphicData>
            </a:graphic>
          </wp:inline>
        </w:drawing>
      </w:r>
      <w:r>
        <w:t xml:space="preserve"> — флаг и передача дальше. Роль пересмотрена (3.1): не классификатор, а валидатор плотностей.</w:t>
      </w:r>
    </w:p>
    <w:p>
      <w:pPr>
        <w:pStyle w:val="ListBullet"/>
        <w:spacing w:before="20" w:after="20"/>
      </w:pPr>
      <w:r>
        <w:rPr>
          <w:b/>
        </w:rPr>
        <w:t>Слой 4 — запасной слой на большой языковой модели.</w:t>
      </w:r>
      <w:r>
        <w:t xml:space="preserve"> Взаимозаменяемые модели семейств GPT </w:t>
      </w:r>
      <w:r>
        <w:t>[</w:t>
      </w:r>
      <w:r>
        <w:t xml:space="preserve">41] и Claude </w:t>
      </w:r>
      <w:r>
        <w:t>[</w:t>
      </w:r>
      <w:r>
        <w:t>42]: Sonnet 4.5, GPT-4o, Gemini 2.5 Flash, открытая gpt-oss-120b, малая llama-3.2-3b (сопоставление — 3.3.2). Структурированный запрос со схемой и партнёр-доступными полями; возвращает значение или честный отказ.</w:t>
      </w:r>
    </w:p>
    <w:p>
      <w:r>
        <w:t>Слои упорядочены по росту удельной стоимости решения. Regex детерминирован и по существу бесплатен. ML работает на уже вычисленном векторном представлении и потому тоже почти бесплатен. Байесовскому валидатору требуется один inference-вызов на сеть. Запасной слой самый дорогой.</w:t>
      </w:r>
    </w:p>
    <w:p>
      <w:pPr>
        <w:pStyle w:val="Heading3"/>
      </w:pPr>
      <w:r>
        <w:rPr>
          <w:rFonts w:ascii="Times New Roman" w:hAnsi="Times New Roman"/>
          <w:color w:val="000000"/>
        </w:rPr>
        <w:t>2.2.2 Почему каскад, а не сквозное решение</w:t>
      </w:r>
    </w:p>
    <w:p>
      <w:r>
        <w:t>Альтернативы каскаду — крайние конфигурации all-LLM и all-ML — рассмотрены как точки отсчёта и отвергнуты. Сквозное решение на LLM даёт 83–94 % точности (3.3.2), но стоимость линейно растёт с числом ячеек; каскад экономит порядка двух порядков при равной или большей точности за счёт стратифицированного распределения нагрузки. Сквозное решение на классическом ML не подходит из-за производных атрибутов, требующих знаний за пределами товарного описания, и сценария холодного старта новых категорий. Каскад занимает нишу между двумя крайностями.</w:t>
      </w:r>
    </w:p>
    <w:p>
      <w:pPr>
        <w:pStyle w:val="Heading3"/>
      </w:pPr>
      <w:r>
        <w:rPr>
          <w:rFonts w:ascii="Times New Roman" w:hAnsi="Times New Roman"/>
          <w:color w:val="000000"/>
        </w:rPr>
        <w:t>2.2.3 Почему SBERT, а не BERT или RoBERTa</w:t>
      </w:r>
    </w:p>
    <w:p>
      <w:r>
        <w:t xml:space="preserve">В качестве кодировщика выбран </w:t>
      </w:r>
      <w:r>
        <w:rPr>
          <w:rFonts w:ascii="Consolas" w:hAnsi="Consolas"/>
          <w:sz w:val="18"/>
          <w:shd w:fill="F5F5F5" w:val="clear"/>
        </w:rPr>
        <w:t>paraphrase-multilingual-MiniLM-L12-v2</w:t>
      </w:r>
      <w:r>
        <w:t xml:space="preserve"> (SBERT </w:t>
      </w:r>
      <w:r>
        <w:t>[</w:t>
      </w:r>
      <w:r>
        <w:t xml:space="preserve">20]). Обоснование: бесплатная многоязычность (50+ языков в едином пространстве без дообучения); компактное 384-мерное представление (в 2 раза меньше BERT-768 и в 2,7 раза меньше RoBERTa-large-1024) при сохранении качества по </w:t>
      </w:r>
      <w:r>
        <w:t>[</w:t>
      </w:r>
      <w:r>
        <w:t>20]; готовность к работе без доменной адаптации (контрастивное обучение на парафразах хорошо подходит для классификации по семантической близости).</w:t>
      </w:r>
    </w:p>
    <w:p>
      <w:pPr>
        <w:pStyle w:val="Heading3"/>
      </w:pPr>
      <w:r>
        <w:rPr>
          <w:rFonts w:ascii="Times New Roman" w:hAnsi="Times New Roman"/>
          <w:color w:val="000000"/>
        </w:rPr>
        <w:t>2.2.4 Почему XGBoost, а не нейронная сеть</w:t>
      </w:r>
    </w:p>
    <w:p>
      <w:r>
        <w:t xml:space="preserve">Слой 2 — XGBoost </w:t>
      </w:r>
      <w:r>
        <w:t>[</w:t>
      </w:r>
      <w:r>
        <w:t xml:space="preserve">14] с регуляризацией (subsample=0.8, colsample=0.8, ранняя остановка, gamma=0.1). XGBoost устойчиво работает на плотных векторных признаках при ограниченной разметке (n≈1250 на категорию, см. 3.2.1), допускает пост-калибровку изотонической регрессией </w:t>
      </w:r>
      <w:r>
        <w:t>[</w:t>
      </w:r>
      <w:r>
        <w:t>28] и выполняет inference на CPU за миллисекунды без GPU. Поатрибутная архитектура «по одному классификатору на атрибут» упрощает цикл «аудит — правка — переобучение — измерение» (3.3.6).</w:t>
      </w:r>
    </w:p>
    <w:p>
      <w:pPr>
        <w:pStyle w:val="Heading3"/>
      </w:pPr>
      <w:r>
        <w:rPr>
          <w:rFonts w:ascii="Times New Roman" w:hAnsi="Times New Roman"/>
          <w:color w:val="000000"/>
        </w:rPr>
        <w:t>2.2.5 Почему байесовская сеть и почему именно pgmpy</w:t>
      </w:r>
    </w:p>
    <w:p>
      <w:r>
        <w:t xml:space="preserve">Для валидатора плотностей выбрана дискретная байесовская сеть в реализации pgmpy </w:t>
      </w:r>
      <w:r>
        <w:t>[</w:t>
      </w:r>
      <w:r>
        <w:t xml:space="preserve">35] 1.1.2. В сравнении с MRF и автоэнкодерами она допускает структурное обучение (Hill Climb + BIC </w:t>
      </w:r>
      <w:r>
        <w:t>[</w:t>
      </w:r>
      <w:r>
        <w:t xml:space="preserve">36]) с интерпретируемым ориентированным графом, дешёвый вывод через Variable Elimination и явное выражение условных зависимостей. pgmpy выбрана за совместимость с Python-экосистемой и поддержку как структурного обучения, так и параметрической оценки через </w:t>
      </w:r>
      <w:r>
        <w:rPr>
          <w:rFonts w:ascii="Consolas" w:hAnsi="Consolas"/>
          <w:sz w:val="18"/>
          <w:shd w:fill="F5F5F5" w:val="clear"/>
        </w:rPr>
        <w:t>BayesianEstimator</w:t>
      </w:r>
      <w:r>
        <w:t>.</w:t>
      </w:r>
    </w:p>
    <w:p>
      <w:pPr>
        <w:pStyle w:val="Heading3"/>
      </w:pPr>
      <w:r>
        <w:rPr>
          <w:rFonts w:ascii="Times New Roman" w:hAnsi="Times New Roman"/>
          <w:color w:val="000000"/>
        </w:rPr>
        <w:t>2.2.6 Почему шлюз API на языке Go, а не моноязычный Python</w:t>
      </w:r>
    </w:p>
    <w:p>
      <w:r>
        <w:t>Демо-система — два сервиса: шлюз на Go (</w:t>
      </w:r>
      <w:r>
        <w:rPr>
          <w:rFonts w:ascii="Consolas" w:hAnsi="Consolas"/>
          <w:sz w:val="18"/>
          <w:shd w:fill="F5F5F5" w:val="clear"/>
        </w:rPr>
        <w:t>:8080</w:t>
      </w:r>
      <w:r>
        <w:t>) и ML-сервис на Python/FastAPI (</w:t>
      </w:r>
      <w:r>
        <w:rPr>
          <w:rFonts w:ascii="Consolas" w:hAnsi="Consolas"/>
          <w:sz w:val="18"/>
          <w:shd w:fill="F5F5F5" w:val="clear"/>
        </w:rPr>
        <w:t>:8001</w:t>
      </w:r>
      <w:r>
        <w:t>). Go подходит для сетевого ввода-вывода (малое потребление памяти, быстрый запуск, конкурентный I/O); Python-экосистема (PyTorch, sentence-transformers, XGBoost, pgmpy) безальтернативна для ML-инференса. Разделение соответствует типовой production-архитектуре и позволяет масштабировать компоненты независимо.</w:t>
      </w:r>
    </w:p>
    <w:p>
      <w:pPr>
        <w:pStyle w:val="Heading3"/>
      </w:pPr>
      <w:r>
        <w:rPr>
          <w:rFonts w:ascii="Times New Roman" w:hAnsi="Times New Roman"/>
          <w:color w:val="000000"/>
        </w:rPr>
        <w:t>2.2.7 Почему открытая большая языковая модель в качестве запасного слоя</w:t>
      </w:r>
    </w:p>
    <w:p>
      <w:r>
        <w:t>В роли Слой 4 поддерживается набор взаимозаменяемых моделей через OpenRouter: Claude Sonnet 4.5, GPT-4o, Gemini 2.5 Flash, открытая gpt-oss-120b, открытая малая llama-3.2-3b (сопоставление — 3.3.2). Обоснование многомодельной конфигурации: открытую gpt-oss-120b можно запустить в инфраструктуре заказчика без передачи данных вовне; коммерческие LLM взаимозаменяемы, что снижает зависимость от провайдера; каскад компенсирует слабость малой модели — при самостоятельном применении gpt-oss-120b проигрывает Sonnet 14–15 п. п., но в составе каскада превосходит безусловное обращение к ней на 23,0 п. п. (3.3.2).</w:t>
      </w:r>
    </w:p>
    <w:p>
      <w:pPr>
        <w:pStyle w:val="Heading3"/>
      </w:pPr>
      <w:r>
        <w:rPr>
          <w:rFonts w:ascii="Times New Roman" w:hAnsi="Times New Roman"/>
          <w:color w:val="000000"/>
        </w:rPr>
        <w:t>2.2.8 Стек технологий — сводная таблица</w:t>
      </w:r>
    </w:p>
    <w:p>
      <w:r>
        <w:t>Сводное представление принятых решений приведено в таблице 2.1.</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rPr>
          <w:tblHeader/>
        </w:trP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Компонент</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Технология</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Ключевое обоснование</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Шлюз API</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Go, стандартная библиотека net/http</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Малое потребление ресурсов, быстрый запуск, отсутствие внешних зависимостей</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ML-сервис</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Python 3.14, FastAPI, Uvicorn</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Доступ к ML-экосистеме, автоматическая валидация через Pydantic, поддержка OpenAPI</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Векторное представление</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 xml:space="preserve">SBERT </w:t>
            </w:r>
            <w:r>
              <w:rPr>
                <w:rFonts w:ascii="Times New Roman" w:hAnsi="Times New Roman"/>
                <w:sz w:val="24"/>
                <w:shd w:fill="F5F5F5" w:val="clear"/>
              </w:rPr>
              <w:t>paraphrase-multilingual-MiniLM-L12-v2</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Многоязычность (50+ языков), компактный 384-мерный вектор, отсутствие необходимости в fine-tuning</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Классификатор Слой 2</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XGBoost с регуляризацией; перекрёстная изотоническая калибровка на эталонной выборке снижает среднюю ECE с 0,070 до 0,043 (3.3.3.3), внедрение в производственную конфигурацию вынесено в 5.5</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Устойчивость на плотных признаках, калибруемые вероятности, дешёвый вывод</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Байесовская сеть</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 xml:space="preserve">pgmpy 1.1.2, </w:t>
            </w:r>
            <w:r>
              <w:rPr>
                <w:rFonts w:ascii="Times New Roman" w:hAnsi="Times New Roman"/>
                <w:sz w:val="24"/>
                <w:shd w:fill="F5F5F5" w:val="clear"/>
              </w:rPr>
              <w:t>DiscreteBayesianNetwork</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Структурное обучение Hill Climb + BIC, дешёвый inference (Variable Elimination), интерпретируемый граф</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Категорайзер Слой 0</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LightGBM (поверх TF-IDF-представления) + порог OOD</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Multi-class классификация с вероятностями + явный отказ при низкой уверенности</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Запасной слой</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OpenRouter API: Sonnet 4.5, GPT-4o, Gemini 2.5 Flash, gpt-oss-120b, llama-3.2-3b</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Единый интерфейс, возможность локального развёртывания, независимость от поставщика</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Фронтенд</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HTML/CSS/JavaScript без сборочной системы</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Минимальные требования к окружению, прозрачность демонстрации</w:t>
            </w:r>
          </w:p>
        </w:tc>
      </w:tr>
    </w:tbl>
    <w:p/>
    <w:p>
      <w:pPr>
        <w:jc w:val="left"/>
        <w:ind w:firstLine="0"/>
      </w:pPr>
      <w:r>
        <w:rPr>
          <w:i/>
        </w:rPr>
        <w:t>Таблица 2.1. Сводная таблица стека технологий с обоснованием выбора.</w:t>
      </w:r>
    </w:p>
    <w:p>
      <w:pPr>
        <w:pStyle w:val="Heading2"/>
      </w:pPr>
      <w:r>
        <w:rPr>
          <w:rFonts w:ascii="Times New Roman" w:hAnsi="Times New Roman"/>
          <w:color w:val="000000"/>
        </w:rPr>
        <w:t>2.3 Сценарий работы программного обеспечения</w:t>
      </w:r>
    </w:p>
    <w:p>
      <w:pPr>
        <w:pStyle w:val="Heading3"/>
      </w:pPr>
      <w:r>
        <w:rPr>
          <w:rFonts w:ascii="Times New Roman" w:hAnsi="Times New Roman"/>
          <w:color w:val="000000"/>
        </w:rPr>
        <w:t>2.3.1 Сквозной пример прохождения запроса</w:t>
      </w:r>
    </w:p>
    <w:p>
      <w:r>
        <w:t xml:space="preserve">Прохождение рассматривается на примере </w:t>
      </w:r>
      <w:r>
        <w:rPr>
          <w:i/>
        </w:rPr>
        <w:t>Spaghetti #5 Barilla</w:t>
      </w:r>
      <w:r>
        <w:t xml:space="preserve"> (повторяется в 3.1.2). Партнёр шлёт </w:t>
      </w:r>
      <w:r>
        <w:rPr>
          <w:rFonts w:ascii="Consolas" w:hAnsi="Consolas"/>
          <w:sz w:val="18"/>
          <w:shd w:fill="F5F5F5" w:val="clear"/>
        </w:rPr>
        <w:t>POST /api/enrich</w:t>
      </w:r>
      <w:r>
        <w:t xml:space="preserve"> с полями category=null, product_name="Spaghetti #5 Barilla", brands="Barilla", ingredients_text="Durum wheat semolina, water", quantity="500g". Поле category пустое — категоризация делегирована системе.</w:t>
      </w:r>
    </w:p>
    <w:p>
      <w:r>
        <w:rPr>
          <w:b/>
        </w:rPr>
        <w:t>Шаг 1. Определение категории (Слой 0).</w:t>
      </w:r>
      <w:r>
        <w:t xml:space="preserve"> Возвращает </w:t>
      </w:r>
      <w:r>
        <w:drawing>
          <wp:inline xmlns:a="http://schemas.openxmlformats.org/drawingml/2006/main" xmlns:pic="http://schemas.openxmlformats.org/drawingml/2006/picture">
            <wp:extent cx="453520" cy="91435"/>
            <wp:docPr id="49" name="Picture 49"/>
            <wp:cNvGraphicFramePr>
              <a:graphicFrameLocks noChangeAspect="1"/>
            </wp:cNvGraphicFramePr>
            <a:graphic>
              <a:graphicData uri="http://schemas.openxmlformats.org/drawingml/2006/picture">
                <pic:pic>
                  <pic:nvPicPr>
                    <pic:cNvPr id="0" name="258fdd5f430afeaa.png"/>
                    <pic:cNvPicPr/>
                  </pic:nvPicPr>
                  <pic:blipFill>
                    <a:blip r:embed="rId52"/>
                    <a:stretch>
                      <a:fillRect/>
                    </a:stretch>
                  </pic:blipFill>
                  <pic:spPr>
                    <a:xfrm>
                      <a:off x="0" y="0"/>
                      <a:ext cx="453520" cy="91435"/>
                    </a:xfrm>
                    <a:prstGeom prst="rect"/>
                  </pic:spPr>
                </pic:pic>
              </a:graphicData>
            </a:graphic>
          </wp:inline>
        </w:drawing>
      </w:r>
      <w:r>
        <w:t xml:space="preserve"> с уверенностью </w:t>
      </w:r>
      <w:r>
        <w:drawing>
          <wp:inline xmlns:a="http://schemas.openxmlformats.org/drawingml/2006/main" xmlns:pic="http://schemas.openxmlformats.org/drawingml/2006/picture">
            <wp:extent cx="193843" cy="102407"/>
            <wp:docPr id="50" name="Picture 50"/>
            <wp:cNvGraphicFramePr>
              <a:graphicFrameLocks noChangeAspect="1"/>
            </wp:cNvGraphicFramePr>
            <a:graphic>
              <a:graphicData uri="http://schemas.openxmlformats.org/drawingml/2006/picture">
                <pic:pic>
                  <pic:nvPicPr>
                    <pic:cNvPr id="0" name="975ba26c778b53ff.png"/>
                    <pic:cNvPicPr/>
                  </pic:nvPicPr>
                  <pic:blipFill>
                    <a:blip r:embed="rId53"/>
                    <a:stretch>
                      <a:fillRect/>
                    </a:stretch>
                  </pic:blipFill>
                  <pic:spPr>
                    <a:xfrm>
                      <a:off x="0" y="0"/>
                      <a:ext cx="193843" cy="102407"/>
                    </a:xfrm>
                    <a:prstGeom prst="rect"/>
                  </pic:spPr>
                </pic:pic>
              </a:graphicData>
            </a:graphic>
          </wp:inline>
        </w:drawing>
      </w:r>
      <w:r>
        <w:t xml:space="preserve">; OOD не активирован, выбрана схема </w:t>
      </w:r>
      <w:r>
        <w:drawing>
          <wp:inline xmlns:a="http://schemas.openxmlformats.org/drawingml/2006/main" xmlns:pic="http://schemas.openxmlformats.org/drawingml/2006/picture">
            <wp:extent cx="288936" cy="117037"/>
            <wp:docPr id="51" name="Picture 51"/>
            <wp:cNvGraphicFramePr>
              <a:graphicFrameLocks noChangeAspect="1"/>
            </wp:cNvGraphicFramePr>
            <a:graphic>
              <a:graphicData uri="http://schemas.openxmlformats.org/drawingml/2006/picture">
                <pic:pic>
                  <pic:nvPicPr>
                    <pic:cNvPr id="0" name="75ddaa482a961828.png"/>
                    <pic:cNvPicPr/>
                  </pic:nvPicPr>
                  <pic:blipFill>
                    <a:blip r:embed="rId54"/>
                    <a:stretch>
                      <a:fillRect/>
                    </a:stretch>
                  </pic:blipFill>
                  <pic:spPr>
                    <a:xfrm>
                      <a:off x="0" y="0"/>
                      <a:ext cx="288936" cy="117037"/>
                    </a:xfrm>
                    <a:prstGeom prst="rect"/>
                  </pic:spPr>
                </pic:pic>
              </a:graphicData>
            </a:graphic>
          </wp:inline>
        </w:drawing>
      </w:r>
      <w:r>
        <w:t xml:space="preserve"> (8 атрибутов).</w:t>
      </w:r>
    </w:p>
    <w:p>
      <w:r>
        <w:rPr>
          <w:b/>
        </w:rPr>
        <w:t>Шаг 2. Поочерёдная обработка атрибутов.</w:t>
      </w:r>
      <w:r>
        <w:t xml:space="preserve"> Каскад обходит атрибуты по схеме. Для pasta_shape срабатывает шаблон Слой 1 на «spaghetti» с уверенностью </w:t>
      </w:r>
      <w:r>
        <w:drawing>
          <wp:inline xmlns:a="http://schemas.openxmlformats.org/drawingml/2006/main" xmlns:pic="http://schemas.openxmlformats.org/drawingml/2006/picture">
            <wp:extent cx="131667" cy="95092"/>
            <wp:docPr id="52" name="Picture 52"/>
            <wp:cNvGraphicFramePr>
              <a:graphicFrameLocks noChangeAspect="1"/>
            </wp:cNvGraphicFramePr>
            <a:graphic>
              <a:graphicData uri="http://schemas.openxmlformats.org/drawingml/2006/picture">
                <pic:pic>
                  <pic:nvPicPr>
                    <pic:cNvPr id="0" name="adaa8e2b3609c84b.png"/>
                    <pic:cNvPicPr/>
                  </pic:nvPicPr>
                  <pic:blipFill>
                    <a:blip r:embed="rId55"/>
                    <a:stretch>
                      <a:fillRect/>
                    </a:stretch>
                  </pic:blipFill>
                  <pic:spPr>
                    <a:xfrm>
                      <a:off x="0" y="0"/>
                      <a:ext cx="131667" cy="95092"/>
                    </a:xfrm>
                    <a:prstGeom prst="rect"/>
                  </pic:spPr>
                </pic:pic>
              </a:graphicData>
            </a:graphic>
          </wp:inline>
        </w:drawing>
      </w:r>
      <w:r>
        <w:t xml:space="preserve"> — следующие слои не вызываются. Для grain_type Слой 1 не даёт совпадения; Слой 2 выдаёт </w:t>
      </w:r>
      <w:r>
        <w:rPr>
          <w:rFonts w:ascii="Consolas" w:hAnsi="Consolas"/>
          <w:sz w:val="18"/>
          <w:shd w:fill="F5F5F5" w:val="clear"/>
        </w:rPr>
        <w:t>"wheat"</w:t>
      </w:r>
      <w:r>
        <w:t xml:space="preserve"> с </w:t>
      </w:r>
      <w:r>
        <w:drawing>
          <wp:inline xmlns:a="http://schemas.openxmlformats.org/drawingml/2006/main" xmlns:pic="http://schemas.openxmlformats.org/drawingml/2006/picture">
            <wp:extent cx="1046022" cy="98750"/>
            <wp:docPr id="53" name="Picture 53"/>
            <wp:cNvGraphicFramePr>
              <a:graphicFrameLocks noChangeAspect="1"/>
            </wp:cNvGraphicFramePr>
            <a:graphic>
              <a:graphicData uri="http://schemas.openxmlformats.org/drawingml/2006/picture">
                <pic:pic>
                  <pic:nvPicPr>
                    <pic:cNvPr id="0" name="f2f9d8f940b8e00d.png"/>
                    <pic:cNvPicPr/>
                  </pic:nvPicPr>
                  <pic:blipFill>
                    <a:blip r:embed="rId56"/>
                    <a:stretch>
                      <a:fillRect/>
                    </a:stretch>
                  </pic:blipFill>
                  <pic:spPr>
                    <a:xfrm>
                      <a:off x="0" y="0"/>
                      <a:ext cx="1046022" cy="98750"/>
                    </a:xfrm>
                    <a:prstGeom prst="rect"/>
                  </pic:spPr>
                </pic:pic>
              </a:graphicData>
            </a:graphic>
          </wp:inline>
        </w:drawing>
      </w:r>
      <w:r>
        <w:t>, валидатор подтверждает (</w:t>
      </w:r>
      <w:r>
        <w:drawing>
          <wp:inline xmlns:a="http://schemas.openxmlformats.org/drawingml/2006/main" xmlns:pic="http://schemas.openxmlformats.org/drawingml/2006/picture">
            <wp:extent cx="1035050" cy="98750"/>
            <wp:docPr id="54" name="Picture 54"/>
            <wp:cNvGraphicFramePr>
              <a:graphicFrameLocks noChangeAspect="1"/>
            </wp:cNvGraphicFramePr>
            <a:graphic>
              <a:graphicData uri="http://schemas.openxmlformats.org/drawingml/2006/picture">
                <pic:pic>
                  <pic:nvPicPr>
                    <pic:cNvPr id="0" name="002e7fb2d208cb16.png"/>
                    <pic:cNvPicPr/>
                  </pic:nvPicPr>
                  <pic:blipFill>
                    <a:blip r:embed="rId57"/>
                    <a:stretch>
                      <a:fillRect/>
                    </a:stretch>
                  </pic:blipFill>
                  <pic:spPr>
                    <a:xfrm>
                      <a:off x="0" y="0"/>
                      <a:ext cx="1035050" cy="98750"/>
                    </a:xfrm>
                    <a:prstGeom prst="rect"/>
                  </pic:spPr>
                </pic:pic>
              </a:graphicData>
            </a:graphic>
          </wp:inline>
        </w:drawing>
      </w:r>
      <w:r>
        <w:t xml:space="preserve">) — отметка ml. Для nutri_score_grade — класс </w:t>
      </w:r>
      <w:r>
        <w:rPr>
          <w:rFonts w:ascii="Consolas" w:hAnsi="Consolas"/>
          <w:sz w:val="18"/>
          <w:shd w:fill="F5F5F5" w:val="clear"/>
        </w:rPr>
        <w:t>"A"</w:t>
      </w:r>
      <w:r>
        <w:t xml:space="preserve">, </w:t>
      </w:r>
      <w:r>
        <w:drawing>
          <wp:inline xmlns:a="http://schemas.openxmlformats.org/drawingml/2006/main" xmlns:pic="http://schemas.openxmlformats.org/drawingml/2006/picture">
            <wp:extent cx="548613" cy="98750"/>
            <wp:docPr id="55" name="Picture 55"/>
            <wp:cNvGraphicFramePr>
              <a:graphicFrameLocks noChangeAspect="1"/>
            </wp:cNvGraphicFramePr>
            <a:graphic>
              <a:graphicData uri="http://schemas.openxmlformats.org/drawingml/2006/picture">
                <pic:pic>
                  <pic:nvPicPr>
                    <pic:cNvPr id="0" name="c4dbd1ae4968d936.png"/>
                    <pic:cNvPicPr/>
                  </pic:nvPicPr>
                  <pic:blipFill>
                    <a:blip r:embed="rId58"/>
                    <a:stretch>
                      <a:fillRect/>
                    </a:stretch>
                  </pic:blipFill>
                  <pic:spPr>
                    <a:xfrm>
                      <a:off x="0" y="0"/>
                      <a:ext cx="548613" cy="98750"/>
                    </a:xfrm>
                    <a:prstGeom prst="rect"/>
                  </pic:spPr>
                </pic:pic>
              </a:graphicData>
            </a:graphic>
          </wp:inline>
        </w:drawing>
      </w:r>
      <w:r>
        <w:t xml:space="preserve">, валидатор подтверждает. Для is_filled </w:t>
      </w:r>
      <w:r>
        <w:drawing>
          <wp:inline xmlns:a="http://schemas.openxmlformats.org/drawingml/2006/main" xmlns:pic="http://schemas.openxmlformats.org/drawingml/2006/picture">
            <wp:extent cx="757086" cy="98750"/>
            <wp:docPr id="56" name="Picture 56"/>
            <wp:cNvGraphicFramePr>
              <a:graphicFrameLocks noChangeAspect="1"/>
            </wp:cNvGraphicFramePr>
            <a:graphic>
              <a:graphicData uri="http://schemas.openxmlformats.org/drawingml/2006/picture">
                <pic:pic>
                  <pic:nvPicPr>
                    <pic:cNvPr id="0" name="0d51c01fe5dfbe05.png"/>
                    <pic:cNvPicPr/>
                  </pic:nvPicPr>
                  <pic:blipFill>
                    <a:blip r:embed="rId59"/>
                    <a:stretch>
                      <a:fillRect/>
                    </a:stretch>
                  </pic:blipFill>
                  <pic:spPr>
                    <a:xfrm>
                      <a:off x="0" y="0"/>
                      <a:ext cx="757086" cy="98750"/>
                    </a:xfrm>
                    <a:prstGeom prst="rect"/>
                  </pic:spPr>
                </pic:pic>
              </a:graphicData>
            </a:graphic>
          </wp:inline>
        </w:drawing>
      </w:r>
      <w:r>
        <w:t xml:space="preserve"> — ячейка идёт в Слой 4.</w:t>
      </w:r>
    </w:p>
    <w:p>
      <w:r>
        <w:rPr>
          <w:b/>
        </w:rPr>
        <w:t>Шаг 3. Формирование ответа.</w:t>
      </w:r>
      <w:r>
        <w:t xml:space="preserve"> ML-сервис собирает поатрибутный ответ с агрегированными счётчиками и возвращает JSON шлюзу (формат — 3.1.2). В сценарии 7 из 8 атрибутов закрыты дешёвыми слоями (1 regex + 6 ML), 1 — Слой 4. Именно такое распределение обеспечивает доминирование каскада в матрице «точность — стоимость» (3.3.2).</w:t>
      </w:r>
    </w:p>
    <w:p>
      <w:pPr>
        <w:pStyle w:val="Heading2"/>
      </w:pPr>
      <w:r>
        <w:rPr>
          <w:rFonts w:ascii="Times New Roman" w:hAnsi="Times New Roman"/>
          <w:color w:val="000000"/>
        </w:rPr>
        <w:t>2.4 Выводы по главе</w:t>
      </w:r>
    </w:p>
    <w:p>
      <w:pPr>
        <w:pStyle w:val="BodyText"/>
        <w:spacing w:before="20" w:after="20"/>
      </w:pPr>
      <w:r>
        <w:t xml:space="preserve">1. Задача обогащения формализована как поатрибутное предсказание </w:t>
      </w:r>
      <w:r>
        <w:drawing>
          <wp:inline xmlns:a="http://schemas.openxmlformats.org/drawingml/2006/main" xmlns:pic="http://schemas.openxmlformats.org/drawingml/2006/picture">
            <wp:extent cx="98750" cy="98750"/>
            <wp:docPr id="57" name="Picture 57"/>
            <wp:cNvGraphicFramePr>
              <a:graphicFrameLocks noChangeAspect="1"/>
            </wp:cNvGraphicFramePr>
            <a:graphic>
              <a:graphicData uri="http://schemas.openxmlformats.org/drawingml/2006/picture">
                <pic:pic>
                  <pic:nvPicPr>
                    <pic:cNvPr id="0" name="5a6e2e7bda0cfebc.png"/>
                    <pic:cNvPicPr/>
                  </pic:nvPicPr>
                  <pic:blipFill>
                    <a:blip r:embed="rId60"/>
                    <a:stretch>
                      <a:fillRect/>
                    </a:stretch>
                  </pic:blipFill>
                  <pic:spPr>
                    <a:xfrm>
                      <a:off x="0" y="0"/>
                      <a:ext cx="98750" cy="98750"/>
                    </a:xfrm>
                    <a:prstGeom prst="rect"/>
                  </pic:spPr>
                </pic:pic>
              </a:graphicData>
            </a:graphic>
          </wp:inline>
        </w:drawing>
      </w:r>
      <w:r>
        <w:t xml:space="preserve"> при заданных партнёр-доступных полях и определённой Слой 0 категории; логика — последовательная фильтрация по уверенности, предсказание классификатора принимается при одновременном выполнении </w:t>
      </w:r>
      <w:r>
        <w:drawing>
          <wp:inline xmlns:a="http://schemas.openxmlformats.org/drawingml/2006/main" xmlns:pic="http://schemas.openxmlformats.org/drawingml/2006/picture">
            <wp:extent cx="446205" cy="95092"/>
            <wp:docPr id="58" name="Picture 58"/>
            <wp:cNvGraphicFramePr>
              <a:graphicFrameLocks noChangeAspect="1"/>
            </wp:cNvGraphicFramePr>
            <a:graphic>
              <a:graphicData uri="http://schemas.openxmlformats.org/drawingml/2006/picture">
                <pic:pic>
                  <pic:nvPicPr>
                    <pic:cNvPr id="0" name="c2d441b275666c98.png"/>
                    <pic:cNvPicPr/>
                  </pic:nvPicPr>
                  <pic:blipFill>
                    <a:blip r:embed="rId61"/>
                    <a:stretch>
                      <a:fillRect/>
                    </a:stretch>
                  </pic:blipFill>
                  <pic:spPr>
                    <a:xfrm>
                      <a:off x="0" y="0"/>
                      <a:ext cx="446205" cy="95092"/>
                    </a:xfrm>
                    <a:prstGeom prst="rect"/>
                  </pic:spPr>
                </pic:pic>
              </a:graphicData>
            </a:graphic>
          </wp:inline>
        </w:drawing>
      </w:r>
      <w:r>
        <w:t xml:space="preserve"> и </w:t>
      </w:r>
      <w:r>
        <w:drawing>
          <wp:inline xmlns:a="http://schemas.openxmlformats.org/drawingml/2006/main" xmlns:pic="http://schemas.openxmlformats.org/drawingml/2006/picture">
            <wp:extent cx="387686" cy="95092"/>
            <wp:docPr id="59" name="Picture 59"/>
            <wp:cNvGraphicFramePr>
              <a:graphicFrameLocks noChangeAspect="1"/>
            </wp:cNvGraphicFramePr>
            <a:graphic>
              <a:graphicData uri="http://schemas.openxmlformats.org/drawingml/2006/picture">
                <pic:pic>
                  <pic:nvPicPr>
                    <pic:cNvPr id="0" name="0b040d6bb34a1b95.png"/>
                    <pic:cNvPicPr/>
                  </pic:nvPicPr>
                  <pic:blipFill>
                    <a:blip r:embed="rId36"/>
                    <a:stretch>
                      <a:fillRect/>
                    </a:stretch>
                  </pic:blipFill>
                  <pic:spPr>
                    <a:xfrm>
                      <a:off x="0" y="0"/>
                      <a:ext cx="387686" cy="95092"/>
                    </a:xfrm>
                    <a:prstGeom prst="rect"/>
                  </pic:spPr>
                </pic:pic>
              </a:graphicData>
            </a:graphic>
          </wp:inline>
        </w:drawing>
      </w:r>
      <w:r>
        <w:t xml:space="preserve"> (формализация ансамблевой оценки уверенности как AND-условия, а не параллельного голосования).</w:t>
      </w:r>
    </w:p>
    <w:p>
      <w:pPr>
        <w:pStyle w:val="BodyText"/>
        <w:spacing w:before="20" w:after="20"/>
      </w:pPr>
      <w:r>
        <w:t xml:space="preserve">2. Архитектурный выбор каждой компоненты (каскад вместо сквозного решения; SBERT, XGBoost, pgmpy; Go-шлюз + Python-ML; открытая gpt-oss-120b) обоснован эксплуатационно, методологически и стратегически. Каскад превращает слабую открытую модель в работоспособную часть production-стека.</w:t>
      </w:r>
    </w:p>
    <w:p>
      <w:pPr>
        <w:pStyle w:val="BodyText"/>
        <w:spacing w:before="20" w:after="20"/>
      </w:pPr>
      <w:r>
        <w:t xml:space="preserve">3. Сквозной сценарий показывает: большинство атрибутов закрывается дешёвыми слоями, обращение к LLM точечно — что и объясняет доминирование по Парето, подтверждаемое в 3.3.# 3 ОПИСАНИЕ ПРОГРАММНО-ТЕХНОЛОГИЧЕСКОЙ РЕАЛИЗАЦИИ</w:t>
      </w:r>
    </w:p>
    <w:p>
      <w:r>
        <w:t>Глава описывает программную реализацию системы: 3.1 — каскад и демонстрационный комплекс; 3.2 — данные и предобработку; 3.3 — численные результаты и сценарии тестирования.</w:t>
      </w:r>
    </w:p>
    <w:p>
      <w:pPr>
        <w:pStyle w:val="Heading2"/>
      </w:pPr>
      <w:r>
        <w:rPr>
          <w:rFonts w:ascii="Times New Roman" w:hAnsi="Times New Roman"/>
          <w:color w:val="000000"/>
        </w:rPr>
        <w:t>3.1 Описание программного обеспечения</w:t>
      </w:r>
    </w:p>
    <w:p>
      <w:pPr>
        <w:pStyle w:val="Heading2"/>
      </w:pPr>
      <w:r>
        <w:rPr>
          <w:rFonts w:ascii="Times New Roman" w:hAnsi="Times New Roman"/>
          <w:color w:val="000000"/>
        </w:rPr>
        <w:t>3.1.1 Архитектура каскада</w:t>
      </w:r>
    </w:p>
    <w:p>
      <w:r>
        <w:t>Гибридный каскад — последовательность из пяти слоёв; каждый обрабатывает свой класс случаев и передаёт остаток следующему. Архитектура соответствует формальной постановке (2.1) и реализует многоуровневую фильтрацию по уверенности с собственным калиброванным порогом на каждом слое; итоговый вердикт — последовательное AND-условие порогов.</w:t>
      </w:r>
    </w:p>
    <w:p>
      <w:pPr>
        <w:pStyle w:val="Heading3"/>
      </w:pPr>
      <w:r>
        <w:rPr>
          <w:rFonts w:ascii="Times New Roman" w:hAnsi="Times New Roman"/>
          <w:color w:val="000000"/>
        </w:rPr>
        <w:t>Состав слоёв</w:t>
      </w:r>
    </w:p>
    <w:p>
      <w:r>
        <w:t>Состав слоёв и их роли описаны в 2.2.1. Ниже приведены детали программной реализации каждого из них; повторное описание архитектурной роли опущено.</w:t>
      </w:r>
    </w:p>
    <w:p>
      <w:r>
        <w:rPr>
          <w:b/>
        </w:rPr>
        <w:t>Слой 0 — категорайзер.</w:t>
      </w:r>
      <w:r>
        <w:t xml:space="preserve"> Реализован как LightGBM поверх TF-IDF-представления (n-граммы 1–2) с порогом OOD. Артефакты: </w:t>
      </w:r>
      <w:r>
        <w:rPr>
          <w:rFonts w:ascii="Consolas" w:hAnsi="Consolas"/>
          <w:sz w:val="18"/>
          <w:shd w:fill="F5F5F5" w:val="clear"/>
        </w:rPr>
        <w:t>models/category_router_v3_lgbm.pkl</w:t>
      </w:r>
      <w:r>
        <w:t xml:space="preserve">, </w:t>
      </w:r>
      <w:r>
        <w:rPr>
          <w:rFonts w:ascii="Consolas" w:hAnsi="Consolas"/>
          <w:sz w:val="18"/>
          <w:shd w:fill="F5F5F5" w:val="clear"/>
        </w:rPr>
        <w:t>models/category_router_v3_vec.pkl</w:t>
      </w:r>
      <w:r>
        <w:t xml:space="preserve">, </w:t>
      </w:r>
      <w:r>
        <w:rPr>
          <w:rFonts w:ascii="Consolas" w:hAnsi="Consolas"/>
          <w:sz w:val="18"/>
          <w:shd w:fill="F5F5F5" w:val="clear"/>
        </w:rPr>
        <w:t>models/category_router_v3_threshold.json</w:t>
      </w:r>
      <w:r>
        <w:t>. На итоговую точность системы влияет через штраф маршрутизации: при ошибке в категории атрибуты товара получают неверную схему и засчитываются как неверные предсказания.</w:t>
      </w:r>
    </w:p>
    <w:p>
      <w:r>
        <w:rPr>
          <w:b/>
        </w:rPr>
        <w:t>Слой 1 — экстрактор регулярных выражений.</w:t>
      </w:r>
      <w:r>
        <w:t xml:space="preserve"> Реализация — </w:t>
      </w:r>
      <w:r>
        <w:rPr>
          <w:rFonts w:ascii="Consolas" w:hAnsi="Consolas"/>
          <w:sz w:val="18"/>
          <w:shd w:fill="F5F5F5" w:val="clear"/>
        </w:rPr>
        <w:t>src/pipeline/regex/extractor.py</w:t>
      </w:r>
      <w:r>
        <w:t>. Разбирает поля product_name и quantity; распознаёт формы пасты («spaghetti», «penne»), процент какао («70 % cocoa» — класс «70–85»), индикатор цельнозернового состава, международные шаблоны вроде «300 g», источник молока в сырах (chèvre / brebis / bufala → goat / sheep / buffalo), маркеры защищённого наименования (AOP / AOC / DOP / PDO / IGP), явные индикаторы ультра-обработанного сыра (fondu, processed cheese, Schmelzkäse). Покрытие слоя неоднородно по категориям: около 18 % на pasta, 23 % на chocolate и 3 % на cheeses (доменные сигналы текстуры и страны происхождения сыра плохо параметризуются регулярными выражениями и переданы на ML-слой). Точность на закрытых ячейках — 87,0–100 % в зависимости от шаблона; на cheeses-выборке gold-эталона все три cheese-шаблона дают 100 % precision (47/47, аудит false-positive исключил формы нарезки «slices / tranches» как маркеры обработки). См. 3.3.3.2.</w:t>
      </w:r>
    </w:p>
    <w:p>
      <w:r>
        <w:rPr>
          <w:b/>
        </w:rPr>
        <w:t>Слой 2 — классификатор машинного обучения.</w:t>
      </w:r>
      <w:r>
        <w:t xml:space="preserve"> Основной рабочий слой (72–96 % решений по категориям). На вход подаётся конкатенация </w:t>
      </w:r>
      <w:r>
        <w:rPr>
          <w:rFonts w:ascii="Consolas" w:hAnsi="Consolas"/>
          <w:sz w:val="18"/>
          <w:shd w:fill="F5F5F5" w:val="clear"/>
        </w:rPr>
        <w:t>product_name + brands + ingredients_text + quantity</w:t>
      </w:r>
      <w:r>
        <w:t xml:space="preserve">. SBERT-кодировщик </w:t>
      </w:r>
      <w:r>
        <w:rPr>
          <w:rFonts w:ascii="Consolas" w:hAnsi="Consolas"/>
          <w:sz w:val="18"/>
          <w:shd w:fill="F5F5F5" w:val="clear"/>
        </w:rPr>
        <w:t>paraphrase-multilingual-MiniLM-L12-v2</w:t>
      </w:r>
      <w:r>
        <w:t xml:space="preserve"> (50+ языков) даёт 384-мерный вектор. Для каждой пары (категория, атрибут) обучен XGBoost-классификатор </w:t>
      </w:r>
      <w:r>
        <w:rPr>
          <w:rFonts w:ascii="Consolas" w:hAnsi="Consolas"/>
          <w:sz w:val="18"/>
          <w:shd w:fill="F5F5F5" w:val="clear"/>
        </w:rPr>
        <w:t>{cat}_{attr}_xgb_hybrid.pkl</w:t>
      </w:r>
      <w:r>
        <w:t xml:space="preserve"> с регуляризацией (subsample=0.8, colsample=0.8, ранняя остановка). Пороги уверенности — в </w:t>
      </w:r>
      <w:r>
        <w:rPr>
          <w:rFonts w:ascii="Consolas" w:hAnsi="Consolas"/>
          <w:sz w:val="18"/>
          <w:shd w:fill="F5F5F5" w:val="clear"/>
        </w:rPr>
        <w:t>{cat}_thresholds.pkl</w:t>
      </w:r>
      <w:r>
        <w:t>. При вероятности ниже порога слой отказывается отвечать. Точность на покрытом срезе — 94,9–98,6 % (см. 3.3.3.2).</w:t>
      </w:r>
    </w:p>
    <w:p>
      <w:r>
        <w:rPr>
          <w:b/>
        </w:rPr>
        <w:t>Слой 3 — байесовский валидатор.</w:t>
      </w:r>
      <w:r>
        <w:t xml:space="preserve"> Сеть хранится в </w:t>
      </w:r>
      <w:r>
        <w:rPr>
          <w:rFonts w:ascii="Consolas" w:hAnsi="Consolas"/>
          <w:sz w:val="18"/>
          <w:shd w:fill="F5F5F5" w:val="clear"/>
        </w:rPr>
        <w:t>models/{cat}_stratified_bayesian.pkl</w:t>
      </w:r>
      <w:r>
        <w:t xml:space="preserve">; структура — Hill Climb + BIC. Роль пересмотрена по итогам 3.3.4: классификаторная точность сети на трудном остатке после Слой 2 — около 52 %, ниже мажоритарной точки отсчёта. Поэтому сеть используется как валидатор плотностей: для предсказания Слой 2 вычисляется </w:t>
      </w:r>
      <w:r>
        <w:rPr>
          <w:rFonts w:ascii="Consolas" w:hAnsi="Consolas"/>
          <w:sz w:val="18"/>
          <w:shd w:fill="F5F5F5" w:val="clear"/>
        </w:rPr>
        <w:t>P(value | evidence)</w:t>
      </w:r>
      <w:r>
        <w:t>, при попадании в нижний 5-перцентиль ячейка помечается флагом и понижается на следующий слой.</w:t>
      </w:r>
    </w:p>
    <w:p>
      <w:r>
        <w:rPr>
          <w:b/>
        </w:rPr>
        <w:t>Слой 4 — запасной слой на большой языковой модели.</w:t>
      </w:r>
      <w:r>
        <w:t xml:space="preserve"> Реализация — </w:t>
      </w:r>
      <w:r>
        <w:rPr>
          <w:rFonts w:ascii="Consolas" w:hAnsi="Consolas"/>
          <w:sz w:val="18"/>
          <w:shd w:fill="F5F5F5" w:val="clear"/>
        </w:rPr>
        <w:t>src/pipeline/llm_fallback/enrich.py</w:t>
      </w:r>
      <w:r>
        <w:t>. Оценке в 3.3.2 подлежат пять моделей: Claude Sonnet 4.5, GPT-4o, Gemini 2.5 Flash, открытая gpt-oss-120b через OpenRouter и открытая малая llama-3.2-3b. Промпт содержит схему атрибутов категории, требуемый JSON-формат и партнёр-доступные поля без подсказок об ожидаемом значении.</w:t>
      </w:r>
    </w:p>
    <w:p>
      <w:pPr>
        <w:pStyle w:val="Heading3"/>
      </w:pPr>
      <w:r>
        <w:rPr>
          <w:rFonts w:ascii="Times New Roman" w:hAnsi="Times New Roman"/>
          <w:color w:val="000000"/>
        </w:rPr>
        <w:t>Поток управления и вход/выход</w:t>
      </w:r>
    </w:p>
    <w:p>
      <w:r>
        <w:t xml:space="preserve">Поток управления описан в 2.1 (формула </w:t>
      </w:r>
      <w:r>
        <w:drawing>
          <wp:inline xmlns:a="http://schemas.openxmlformats.org/drawingml/2006/main" xmlns:pic="http://schemas.openxmlformats.org/drawingml/2006/picture">
            <wp:extent cx="98750" cy="98750"/>
            <wp:docPr id="60" name="Picture 60"/>
            <wp:cNvGraphicFramePr>
              <a:graphicFrameLocks noChangeAspect="1"/>
            </wp:cNvGraphicFramePr>
            <a:graphic>
              <a:graphicData uri="http://schemas.openxmlformats.org/drawingml/2006/picture">
                <pic:pic>
                  <pic:nvPicPr>
                    <pic:cNvPr id="0" name="5a6e2e7bda0cfebc.png"/>
                    <pic:cNvPicPr/>
                  </pic:nvPicPr>
                  <pic:blipFill>
                    <a:blip r:embed="rId60"/>
                    <a:stretch>
                      <a:fillRect/>
                    </a:stretch>
                  </pic:blipFill>
                  <pic:spPr>
                    <a:xfrm>
                      <a:off x="0" y="0"/>
                      <a:ext cx="98750" cy="98750"/>
                    </a:xfrm>
                    <a:prstGeom prst="rect"/>
                  </pic:spPr>
                </pic:pic>
              </a:graphicData>
            </a:graphic>
          </wp:inline>
        </w:drawing>
      </w:r>
      <w:r>
        <w:t>). На каждом слое одно из двух решений: закрыть атрибут или передать дальше. Слои упорядочены по росту стоимости, поэтому LLM-вызов делается только на ячейках, где предыдущие слои отказались. Вход — партнёр-доступные поля; Слой 2 обучается только на них, что исключает утечку через теги OFF. Алгоритм обработки одного запроса в нотации ГОСТ 19.701-90 приведён на рисунке 3.1.</w:t>
      </w:r>
    </w:p>
    <w:p>
      <w:pPr>
        <w:jc w:val="left"/>
      </w:pPr>
      <w:r>
        <w:drawing>
          <wp:inline xmlns:a="http://schemas.openxmlformats.org/drawingml/2006/main" xmlns:pic="http://schemas.openxmlformats.org/drawingml/2006/picture">
            <wp:extent cx="5733288" cy="6971181"/>
            <wp:docPr id="61" name="Picture 61"/>
            <wp:cNvGraphicFramePr>
              <a:graphicFrameLocks noChangeAspect="1"/>
            </wp:cNvGraphicFramePr>
            <a:graphic>
              <a:graphicData uri="http://schemas.openxmlformats.org/drawingml/2006/picture">
                <pic:pic>
                  <pic:nvPicPr>
                    <pic:cNvPr id="0" name="fig_3_1_algorithm_flowchart.png"/>
                    <pic:cNvPicPr/>
                  </pic:nvPicPr>
                  <pic:blipFill>
                    <a:blip r:embed="rId62"/>
                    <a:stretch>
                      <a:fillRect/>
                    </a:stretch>
                  </pic:blipFill>
                  <pic:spPr>
                    <a:xfrm>
                      <a:off x="0" y="0"/>
                      <a:ext cx="5733288" cy="6971181"/>
                    </a:xfrm>
                    <a:prstGeom prst="rect"/>
                  </pic:spPr>
                </pic:pic>
              </a:graphicData>
            </a:graphic>
          </wp:inline>
        </w:drawing>
      </w:r>
    </w:p>
    <w:p>
      <w:pPr>
        <w:jc w:val="left"/>
        <w:ind w:firstLine="0"/>
      </w:pPr>
      <w:r>
        <w:t>Рисунок 3.1 — Блок-схема алгоритма обработки запроса (нотация ГОСТ 19.701-90)</w:t>
      </w:r>
    </w:p>
    <w:p>
      <w:pPr>
        <w:pStyle w:val="Heading2"/>
      </w:pPr>
      <w:r>
        <w:rPr>
          <w:rFonts w:ascii="Times New Roman" w:hAnsi="Times New Roman"/>
          <w:color w:val="000000"/>
        </w:rPr>
        <w:t>3.1.2 Демонстрационная система</w:t>
      </w:r>
    </w:p>
    <w:p>
      <w:r>
        <w:t>Трёхкомпонентная демонстрационная система имитирует встраивание в бизнес-процесс интернет-магазина.</w:t>
      </w:r>
    </w:p>
    <w:p>
      <w:pPr>
        <w:pStyle w:val="Heading3"/>
      </w:pPr>
      <w:r>
        <w:rPr>
          <w:rFonts w:ascii="Times New Roman" w:hAnsi="Times New Roman"/>
          <w:color w:val="000000"/>
        </w:rPr>
        <w:t>Архитектура компонентов</w:t>
      </w:r>
    </w:p>
    <w:p>
      <w:r>
        <w:t>Цепочка обработки: браузер (HTML/JS) → шлюз API на Go (</w:t>
      </w:r>
      <w:r>
        <w:rPr>
          <w:rFonts w:ascii="Consolas" w:hAnsi="Consolas"/>
          <w:sz w:val="18"/>
          <w:shd w:fill="F5F5F5" w:val="clear"/>
        </w:rPr>
        <w:t>:8080</w:t>
      </w:r>
      <w:r>
        <w:t>) → ML-сервис на Python/FastAPI (</w:t>
      </w:r>
      <w:r>
        <w:rPr>
          <w:rFonts w:ascii="Consolas" w:hAnsi="Consolas"/>
          <w:sz w:val="18"/>
          <w:shd w:fill="F5F5F5" w:val="clear"/>
        </w:rPr>
        <w:t>:8001</w:t>
      </w:r>
      <w:r>
        <w:t>) → каскад Слой 0 — regex — ML — Bayes — LLM.</w:t>
      </w:r>
    </w:p>
    <w:p>
      <w:r>
        <w:t xml:space="preserve">Шлюз на Go (demo/gateway/, ≈200 строк, стандартная net/http) выполняет валидацию JSON, проксирование к ML-сервису, CORS, логирование и отдачу статического фронтенда. ML-сервис (demo/ml_service/) при старте загружает SBERT-кодировщик, 24 XGBoost-классификатора, байесовские сети, словари порогов и Слой 0; после прогрева (≈15–20 с) запросы к слоям 0–3 обрабатываются за десятки миллисекунд. Эндпоинты: </w:t>
      </w:r>
      <w:r>
        <w:rPr>
          <w:rFonts w:ascii="Consolas" w:hAnsi="Consolas"/>
          <w:sz w:val="18"/>
          <w:shd w:fill="F5F5F5" w:val="clear"/>
        </w:rPr>
        <w:t>POST /api/enrich</w:t>
      </w:r>
      <w:r>
        <w:t xml:space="preserve"> (обогащение), </w:t>
      </w:r>
      <w:r>
        <w:rPr>
          <w:rFonts w:ascii="Consolas" w:hAnsi="Consolas"/>
          <w:sz w:val="18"/>
          <w:shd w:fill="F5F5F5" w:val="clear"/>
        </w:rPr>
        <w:t>GET /api/categories</w:t>
      </w:r>
      <w:r>
        <w:t xml:space="preserve"> (схема), </w:t>
      </w:r>
      <w:r>
        <w:rPr>
          <w:rFonts w:ascii="Consolas" w:hAnsi="Consolas"/>
          <w:sz w:val="18"/>
          <w:shd w:fill="F5F5F5" w:val="clear"/>
        </w:rPr>
        <w:t>GET /health</w:t>
      </w:r>
      <w:r>
        <w:t xml:space="preserve"> (готовность), </w:t>
      </w:r>
      <w:r>
        <w:rPr>
          <w:rFonts w:ascii="Consolas" w:hAnsi="Consolas"/>
          <w:sz w:val="18"/>
          <w:shd w:fill="F5F5F5" w:val="clear"/>
        </w:rPr>
        <w:t>POST /api/explain</w:t>
      </w:r>
      <w:r>
        <w:t xml:space="preserve"> (Shapley-объяснения). Веб-интерфейс (demo/frontend/) — статическая HTML/JS-страница с формой ввода, переключателем категоризации, пресетами и блоком результата с отметкой слоя-источника.</w:t>
      </w:r>
    </w:p>
    <w:p>
      <w:pPr>
        <w:pStyle w:val="Heading3"/>
      </w:pPr>
      <w:r>
        <w:rPr>
          <w:rFonts w:ascii="Times New Roman" w:hAnsi="Times New Roman"/>
          <w:color w:val="000000"/>
        </w:rPr>
        <w:t>Контракт API</w:t>
      </w:r>
    </w:p>
    <w:p>
      <w:r>
        <w:t xml:space="preserve">Запрос </w:t>
      </w:r>
      <w:r>
        <w:rPr>
          <w:rFonts w:ascii="Consolas" w:hAnsi="Consolas"/>
          <w:sz w:val="18"/>
          <w:shd w:fill="F5F5F5" w:val="clear"/>
        </w:rPr>
        <w:t>POST /api/enrich</w:t>
      </w:r>
      <w:r>
        <w:t xml:space="preserve"> принимает JSON с полями category (опционально; иначе сработает Слой 0), product_name, brands, ingredients_text, quantity. Пример:</w:t>
      </w:r>
    </w:p>
    <w:p>
      <w:pPr>
        <w:spacing w:before="80" w:after="80"/>
        <w:ind w:left="360"/>
        <w:shd w:fill="F5F5F5" w:val="clear"/>
      </w:pPr>
      <w:r>
        <w:rPr>
          <w:rFonts w:ascii="Consolas" w:hAnsi="Consolas"/>
          <w:color w:val="1A1A1A"/>
          <w:sz w:val="18"/>
        </w:rPr>
        <w:t>{ "category": "pasta", "product_name": "Spaghetti #5 Barilla",</w:t>
      </w:r>
      <w:r>
        <w:br/>
      </w:r>
      <w:r>
        <w:rPr>
          <w:rFonts w:ascii="Consolas" w:hAnsi="Consolas"/>
          <w:color w:val="1A1A1A"/>
          <w:sz w:val="18"/>
        </w:rPr>
        <w:t xml:space="preserve">  "brands": "Barilla", "ingredients_text": "Durum wheat semolina, water", "quantity": "500g" }</w:t>
      </w:r>
    </w:p>
    <w:p>
      <w:r>
        <w:t>Ответ содержит category, агрегированные счётчики (n_attrs_total, n_covered, n_llm_fallback) и объект predictions, где для каждого атрибута указаны значение, слой-источник (regex / ml / llm_fallback), уверенность и результат валидации:</w:t>
      </w:r>
    </w:p>
    <w:p>
      <w:pPr>
        <w:spacing w:before="80" w:after="80"/>
        <w:ind w:left="360"/>
        <w:shd w:fill="F5F5F5" w:val="clear"/>
      </w:pPr>
      <w:r>
        <w:rPr>
          <w:rFonts w:ascii="Consolas" w:hAnsi="Consolas"/>
          <w:color w:val="1A1A1A"/>
          <w:sz w:val="18"/>
        </w:rPr>
        <w:t>{ "category": "pasta", "n_attrs_total": 8, "n_covered": 7, "n_llm_fallback": 1,</w:t>
      </w:r>
      <w:r>
        <w:br/>
      </w:r>
      <w:r>
        <w:rPr>
          <w:rFonts w:ascii="Consolas" w:hAnsi="Consolas"/>
          <w:color w:val="1A1A1A"/>
          <w:sz w:val="18"/>
        </w:rPr>
        <w:t xml:space="preserve">  "predictions": {</w:t>
      </w:r>
      <w:r>
        <w:br/>
      </w:r>
      <w:r>
        <w:rPr>
          <w:rFonts w:ascii="Consolas" w:hAnsi="Consolas"/>
          <w:color w:val="1A1A1A"/>
          <w:sz w:val="18"/>
        </w:rPr>
        <w:t xml:space="preserve">    "pasta_shape": { "value": "spaghetti", "layer": "regex", "confidence": 1.00 },</w:t>
      </w:r>
      <w:r>
        <w:br/>
      </w:r>
      <w:r>
        <w:rPr>
          <w:rFonts w:ascii="Consolas" w:hAnsi="Consolas"/>
          <w:color w:val="1A1A1A"/>
          <w:sz w:val="18"/>
        </w:rPr>
        <w:t xml:space="preserve">    "grain_type":  { "value": "wheat", "layer": "ml", "confidence": 0.99,</w:t>
      </w:r>
      <w:r>
        <w:br/>
      </w:r>
      <w:r>
        <w:rPr>
          <w:rFonts w:ascii="Consolas" w:hAnsi="Consolas"/>
          <w:color w:val="1A1A1A"/>
          <w:sz w:val="18"/>
        </w:rPr>
        <w:t xml:space="preserve">                     "validation": { "flagged": false, "p": 0.85, "threshold": 0.04 } },</w:t>
      </w:r>
      <w:r>
        <w:br/>
      </w:r>
      <w:r>
        <w:rPr>
          <w:rFonts w:ascii="Consolas" w:hAnsi="Consolas"/>
          <w:color w:val="1A1A1A"/>
          <w:sz w:val="18"/>
        </w:rPr>
        <w:t xml:space="preserve">    "is_filled":   { "value": null, "layer": "llm_fallback", "confidence": 0.0 } } }</w:t>
      </w:r>
    </w:p>
    <w:p>
      <w:r>
        <w:t>Явная отметка слоя-источника компенсирует ограниченную интерпретируемость Слой 2/3 на уровне отдельного товара.</w:t>
      </w:r>
    </w:p>
    <w:p>
      <w:pPr>
        <w:pStyle w:val="Heading3"/>
      </w:pPr>
      <w:r>
        <w:rPr>
          <w:rFonts w:ascii="Times New Roman" w:hAnsi="Times New Roman"/>
          <w:color w:val="000000"/>
        </w:rPr>
        <w:t>Запуск и эксплуатация</w:t>
      </w:r>
    </w:p>
    <w:p>
      <w:r>
        <w:t xml:space="preserve">Запуск выполняется тремя командами (ML-сервис на </w:t>
      </w:r>
      <w:r>
        <w:rPr>
          <w:rFonts w:ascii="Consolas" w:hAnsi="Consolas"/>
          <w:sz w:val="18"/>
          <w:shd w:fill="F5F5F5" w:val="clear"/>
        </w:rPr>
        <w:t>:8001</w:t>
      </w:r>
      <w:r>
        <w:t xml:space="preserve">, Go-шлюз на </w:t>
      </w:r>
      <w:r>
        <w:rPr>
          <w:rFonts w:ascii="Consolas" w:hAnsi="Consolas"/>
          <w:sz w:val="18"/>
          <w:shd w:fill="F5F5F5" w:val="clear"/>
        </w:rPr>
        <w:t>:8080</w:t>
      </w:r>
      <w:r>
        <w:t xml:space="preserve">, браузер) либо одной — </w:t>
      </w:r>
      <w:r>
        <w:rPr>
          <w:rFonts w:ascii="Consolas" w:hAnsi="Consolas"/>
          <w:sz w:val="18"/>
          <w:shd w:fill="F5F5F5" w:val="clear"/>
        </w:rPr>
        <w:t>bash reproduce.sh demo</w:t>
      </w:r>
      <w:r>
        <w:t xml:space="preserve">. Готовность системы проверяется через </w:t>
      </w:r>
      <w:r>
        <w:rPr>
          <w:rFonts w:ascii="Consolas" w:hAnsi="Consolas"/>
          <w:sz w:val="18"/>
          <w:shd w:fill="F5F5F5" w:val="clear"/>
        </w:rPr>
        <w:t>GET /health</w:t>
      </w:r>
      <w:r>
        <w:t>. Стек технологий и обоснование компонентов — в 2.2.8 (таблица 2.1).</w:t>
      </w:r>
    </w:p>
    <w:p>
      <w:pPr>
        <w:pStyle w:val="Heading2"/>
      </w:pPr>
      <w:r>
        <w:rPr>
          <w:rFonts w:ascii="Times New Roman" w:hAnsi="Times New Roman"/>
          <w:color w:val="000000"/>
        </w:rPr>
        <w:t>3.2 Данные</w:t>
      </w:r>
    </w:p>
    <w:p>
      <w:pPr>
        <w:pStyle w:val="Heading3"/>
      </w:pPr>
      <w:r>
        <w:rPr>
          <w:rFonts w:ascii="Times New Roman" w:hAnsi="Times New Roman"/>
          <w:color w:val="000000"/>
        </w:rPr>
        <w:t>3.2.1 Источник данных: Open Food Facts</w:t>
      </w:r>
    </w:p>
    <w:p>
      <w:r>
        <w:t xml:space="preserve">Основой выбран открытый каталог Open Food Facts (далее — OFF) — краудсорсинговая база ≈4,5 млн уникальных позиций под лицензией Open Database License (ODbL), допускающей коммерческое использование. Дамп получен командой </w:t>
      </w:r>
      <w:r>
        <w:rPr>
          <w:rFonts w:ascii="Consolas" w:hAnsi="Consolas"/>
          <w:sz w:val="18"/>
          <w:shd w:fill="F5F5F5" w:val="clear"/>
        </w:rPr>
        <w:t>python -m src.data.download --source off</w:t>
      </w:r>
      <w:r>
        <w:t xml:space="preserve"> и конвертирован в parquet (</w:t>
      </w:r>
      <w:r>
        <w:rPr>
          <w:rFonts w:ascii="Consolas" w:hAnsi="Consolas"/>
          <w:sz w:val="18"/>
          <w:shd w:fill="F5F5F5" w:val="clear"/>
        </w:rPr>
        <w:t>datasets/raw/en.openfoodfacts.org.products.parquet</w:t>
      </w:r>
      <w:r>
        <w:t>, 526 МБ).</w:t>
      </w:r>
    </w:p>
    <w:p>
      <w:r>
        <w:t>Выбор OFF обоснован тремя соображениями: открытость лицензии обеспечивает воспроизводимость; каталог репрезентативен и мультиязычен (50+ языков в product_name и ingredients_text); помимо текстовых полей OFF содержит структурированные нутриентные показатели (fat_100g, sugars_100g и др.) и регуляторные теги (labels_tags, ingredients_analysis_tags), на которых построен эталон (3.2.3). Альтернативы (скрейпинг онлайн-магазинов, коммерческие PIM, теги Wikipedia) отклонены по лицензионным и покрытийным соображениям.</w:t>
      </w:r>
    </w:p>
    <w:p>
      <w:r>
        <w:t>Область охвата — три категории: pasta, chocolate, cheeses. Они выбраны по критериям 1.3: достаточный объём, различие типа целевых атрибутов и наличие подгруппы атрибутов с детерминированным эталоном из нутриентов.</w:t>
      </w:r>
    </w:p>
    <w:p>
      <w:pPr>
        <w:pStyle w:val="Heading3"/>
      </w:pPr>
      <w:r>
        <w:rPr>
          <w:rFonts w:ascii="Times New Roman" w:hAnsi="Times New Roman"/>
          <w:color w:val="000000"/>
        </w:rPr>
        <w:t>3.2.2 Входные и целевые поля, фильтрация, стратифицированная выборка</w:t>
      </w:r>
    </w:p>
    <w:p>
      <w:r>
        <w:t xml:space="preserve">Поля OFF разделены на партнёр-доступные (product_name, brands, quantity, ingredients_text, code) и целевые выходные (categories_tags, labels_tags, </w:t>
      </w:r>
      <w:r>
        <w:rPr>
          <w:rFonts w:ascii="Consolas" w:hAnsi="Consolas"/>
          <w:sz w:val="18"/>
          <w:shd w:fill="F5F5F5" w:val="clear"/>
        </w:rPr>
        <w:t>*_100g</w:t>
      </w:r>
      <w:r>
        <w:t xml:space="preserve">, ingredients_analysis_tags). Целевые поля не передаются на вход обучаемых компонентов под угрозой утечки; Слой 2 формирует вход только из конкатенации </w:t>
      </w:r>
      <w:r>
        <w:rPr>
          <w:rFonts w:ascii="Consolas" w:hAnsi="Consolas"/>
          <w:sz w:val="18"/>
          <w:shd w:fill="F5F5F5" w:val="clear"/>
        </w:rPr>
        <w:t>product_name + brands + ingredients_text + quantity</w:t>
      </w:r>
      <w:r>
        <w:t>.</w:t>
      </w:r>
    </w:p>
    <w:p>
      <w:r>
        <w:t>Фильтрация по категории (</w:t>
      </w:r>
      <w:r>
        <w:rPr>
          <w:rFonts w:ascii="Consolas" w:hAnsi="Consolas"/>
          <w:sz w:val="18"/>
          <w:shd w:fill="F5F5F5" w:val="clear"/>
        </w:rPr>
        <w:t>src/data/filter.py</w:t>
      </w:r>
      <w:r>
        <w:t xml:space="preserve">) использует списки включения/исключения categories_tags (например, для pasta включение — </w:t>
      </w:r>
      <w:r>
        <w:rPr>
          <w:rFonts w:ascii="Consolas" w:hAnsi="Consolas"/>
          <w:sz w:val="18"/>
          <w:shd w:fill="F5F5F5" w:val="clear"/>
        </w:rPr>
        <w:t>en:pastas</w:t>
      </w:r>
      <w:r>
        <w:t xml:space="preserve">, </w:t>
      </w:r>
      <w:r>
        <w:rPr>
          <w:rFonts w:ascii="Consolas" w:hAnsi="Consolas"/>
          <w:sz w:val="18"/>
          <w:shd w:fill="F5F5F5" w:val="clear"/>
        </w:rPr>
        <w:t>en:fresh-pastas</w:t>
      </w:r>
      <w:r>
        <w:t xml:space="preserve">, исключение — </w:t>
      </w:r>
      <w:r>
        <w:rPr>
          <w:rFonts w:ascii="Consolas" w:hAnsi="Consolas"/>
          <w:sz w:val="18"/>
          <w:shd w:fill="F5F5F5" w:val="clear"/>
        </w:rPr>
        <w:t>en:potato-products</w:t>
      </w:r>
      <w:r>
        <w:t xml:space="preserve">, </w:t>
      </w:r>
      <w:r>
        <w:rPr>
          <w:rFonts w:ascii="Consolas" w:hAnsi="Consolas"/>
          <w:sz w:val="18"/>
          <w:shd w:fill="F5F5F5" w:val="clear"/>
        </w:rPr>
        <w:t>en:rice-products</w:t>
      </w:r>
      <w:r>
        <w:t xml:space="preserve">, </w:t>
      </w:r>
      <w:r>
        <w:rPr>
          <w:rFonts w:ascii="Consolas" w:hAnsi="Consolas"/>
          <w:sz w:val="18"/>
          <w:shd w:fill="F5F5F5" w:val="clear"/>
        </w:rPr>
        <w:t>en:noodles</w:t>
      </w:r>
      <w:r>
        <w:t>). После фильтрации применяется стратифицированная по языку выборка (определение языка — langdetect, страты — FR, EN, DE, IT, ES). Из каждой страты отбирается ≈250 товаров, итого ≈1250 на категорию (таблица 3.2.1).</w:t>
      </w:r>
    </w:p>
    <w:p>
      <w:pPr>
        <w:jc w:val="left"/>
        <w:ind w:firstLine="0"/>
      </w:pPr>
      <w:r>
        <w:t xml:space="preserve">Таблица 3.2.1. Состав стратифицированной выборки по категориям, входящим в область охвата работы. Источник: </w:t>
      </w:r>
      <w:r>
        <w:rPr>
          <w:rFonts w:ascii="Consolas" w:hAnsi="Consolas"/>
          <w:sz w:val="18"/>
          <w:shd w:fill="F5F5F5" w:val="clear"/>
        </w:rPr>
        <w:t>datasets/processed/{cat}_stratified_silver_standard.parquet</w:t>
      </w:r>
      <w:r>
        <w:t>.</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rPr>
          <w:tblHeader/>
        </w:trP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Объём после фильтрации (сырые позиции)</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Объём стратифицированной выборки</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Число целевых атрибутов</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pasta (макаронные изделия)</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15 691</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1 250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chocolate (шоколад)</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13 469</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1 250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7</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cheeses (сыры)</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21 208</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1 250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w:t>
            </w:r>
          </w:p>
        </w:tc>
      </w:tr>
    </w:tbl>
    <w:p/>
    <w:p>
      <w:r>
        <w:t xml:space="preserve">Целевые атрибуты определены в </w:t>
      </w:r>
      <w:r>
        <w:rPr>
          <w:rFonts w:ascii="Consolas" w:hAnsi="Consolas"/>
          <w:sz w:val="18"/>
          <w:shd w:fill="F5F5F5" w:val="clear"/>
        </w:rPr>
        <w:t>src/pipeline/schemas/{cat}.py</w:t>
      </w:r>
      <w:r>
        <w:t xml:space="preserve"> и включают как кросс-категорийные (is_organic, nutri_score_grade), так и специфичные (pasta_shape, chocolate_type, milk_source, texture). Всего 24 пары (категория, атрибут) для 18 уникальных имён; экспериментальной оценке в 3.3 подлежат 22 пары (два атрибута cheeses — nutri_score_grade, protein_class — обучены, но не оцениваются ввиду отсутствия соответствующей разметки в OFF).</w:t>
      </w:r>
    </w:p>
    <w:p>
      <w:pPr>
        <w:pStyle w:val="Heading3"/>
      </w:pPr>
      <w:r>
        <w:rPr>
          <w:rFonts w:ascii="Times New Roman" w:hAnsi="Times New Roman"/>
          <w:color w:val="000000"/>
        </w:rPr>
        <w:t>3.2.3 Эталонная разметка: иерархическая схема трёх ярусов</w:t>
      </w:r>
    </w:p>
    <w:p>
      <w:r>
        <w:t>Эталонная разметка построена как многоярусная процедура, где каждый ярус опирается на качественно различный класс свидетельств. Это даёт высокую точность при объёме, недостижимом для ручной разметки, и явно отделяет детерминированно разрешимые атрибуты от семантических (таксономия — в приложении A).</w:t>
      </w:r>
    </w:p>
    <w:p>
      <w:r>
        <w:t xml:space="preserve">Ярус 0 (нутриент-производные). Детерминированное бакетирование числовых полей: nutri_score_grade из </w:t>
      </w:r>
      <w:r>
        <w:rPr>
          <w:rFonts w:ascii="Consolas" w:hAnsi="Consolas"/>
          <w:sz w:val="18"/>
          <w:shd w:fill="F5F5F5" w:val="clear"/>
        </w:rPr>
        <w:t>*_100g</w:t>
      </w:r>
      <w:r>
        <w:t xml:space="preserve"> по регламенту ЕК 2017/1944, protein_class из proteins_100g, fat_class из fat_100g. Точность эталона — 100 % при достоверных нутриентах, покрытие 95–100 %.</w:t>
      </w:r>
    </w:p>
    <w:p>
      <w:r>
        <w:t xml:space="preserve">Ярус 1 (тег-производные). Эталон из регуляторных тегов: is_organic из </w:t>
      </w:r>
      <w:r>
        <w:rPr>
          <w:rFonts w:ascii="Consolas" w:hAnsi="Consolas"/>
          <w:sz w:val="18"/>
          <w:shd w:fill="F5F5F5" w:val="clear"/>
        </w:rPr>
        <w:t>en:organic</w:t>
      </w:r>
      <w:r>
        <w:t xml:space="preserve">, is_gluten_free из </w:t>
      </w:r>
      <w:r>
        <w:rPr>
          <w:rFonts w:ascii="Consolas" w:hAnsi="Consolas"/>
          <w:sz w:val="18"/>
          <w:shd w:fill="F5F5F5" w:val="clear"/>
        </w:rPr>
        <w:t>en:gluten-free</w:t>
      </w:r>
      <w:r>
        <w:t xml:space="preserve">, is_pdo из </w:t>
      </w:r>
      <w:r>
        <w:rPr>
          <w:rFonts w:ascii="Consolas" w:hAnsi="Consolas"/>
          <w:sz w:val="18"/>
          <w:shd w:fill="F5F5F5" w:val="clear"/>
        </w:rPr>
        <w:t>en:protected-designation-of-origin</w:t>
      </w:r>
      <w:r>
        <w:t>. Достоверность опирается на правовую защиту меток в ЕС (регламенты 834/2007 и 1151/2012).</w:t>
      </w:r>
    </w:p>
    <w:p>
      <w:r>
        <w:t>Ярус 2 (семантически-текстовые). Признаки без детерминированного правила: pasta_shape, chocolate_type, milk_source, texture, contains_nuts, cocoa_percentage. Эталон — согласие трёх независимых LLM (Claude Sonnet 4.5, GPT-4o, Gemini 2.5 Flash) на полной выборке 1250 × 3 категории: атрибут принимается, если не менее двух моделей совпадают (согласованность 97,7 %). Несогласованные позиции размечены слепо Claude Opus 4. Итог (</w:t>
      </w:r>
      <w:r>
        <w:rPr>
          <w:rFonts w:ascii="Consolas" w:hAnsi="Consolas"/>
          <w:sz w:val="18"/>
          <w:shd w:fill="F5F5F5" w:val="clear"/>
        </w:rPr>
        <w:t>consensus_gold_v2_expanded.parquet</w:t>
      </w:r>
      <w:r>
        <w:t>) — 19 551 ячейка: 4 444 (ярус 0) + 7 108 (ярус 1) + 7 999 (ярус 2).</w:t>
      </w:r>
    </w:p>
    <w:p>
      <w:pPr>
        <w:pStyle w:val="Heading3"/>
      </w:pPr>
      <w:r>
        <w:rPr>
          <w:rFonts w:ascii="Times New Roman" w:hAnsi="Times New Roman"/>
          <w:color w:val="000000"/>
        </w:rPr>
        <w:t>3.2.4 Разбиение без пересечения брендов</w:t>
      </w:r>
    </w:p>
    <w:p>
      <w:r>
        <w:t>Случайное разбиение непригодно: бренд сам по себе сильный предиктор атрибутов (например, «Lindt» — тёмный шоколад определённого диапазона какао), и его попадание в обучение и тест одновременно завышает точность за счёт утечки. Эксплуатационный сценарий с регулярным подключением новых партнёров такая оценка не отражает.</w:t>
      </w:r>
    </w:p>
    <w:p>
      <w:r>
        <w:t>Применяется разбиение без пересечения брендов (</w:t>
      </w:r>
      <w:r>
        <w:rPr>
          <w:rFonts w:ascii="Consolas" w:hAnsi="Consolas"/>
          <w:sz w:val="18"/>
          <w:shd w:fill="F5F5F5" w:val="clear"/>
        </w:rPr>
        <w:t>src/data/split/brand_disjoint.py</w:t>
      </w:r>
      <w:r>
        <w:t>): уникальные бренды каждой категории делятся 60/20/20, все позиции бренда — в одно подмножество. Тест: 170 / 163 / 188 брендов в pasta / chocolate / cheeses; совокупно 1 423 / 1 270 / 1 657 = 4 350 ячеек (</w:t>
      </w:r>
      <w:r>
        <w:rPr>
          <w:rFonts w:ascii="Consolas" w:hAnsi="Consolas"/>
          <w:sz w:val="18"/>
          <w:shd w:fill="F5F5F5" w:val="clear"/>
        </w:rPr>
        <w:t>headline_v3e_final.parquet</w:t>
      </w:r>
      <w:r>
        <w:t>). Этот срез — основа всех количественных оценок 3.3.</w:t>
      </w:r>
    </w:p>
    <w:p>
      <w:pPr>
        <w:pStyle w:val="Heading3"/>
      </w:pPr>
      <w:r>
        <w:rPr>
          <w:rFonts w:ascii="Times New Roman" w:hAnsi="Times New Roman"/>
          <w:color w:val="000000"/>
        </w:rPr>
        <w:t>3.2.5 Дополнительные источники: разнородные модальности и внешний справочник</w:t>
      </w:r>
    </w:p>
    <w:p>
      <w:r>
        <w:t xml:space="preserve">Для усиления обучающего сигнала Слой 2 задействованы два дополнительных класса данных. Первый — разнородные модальности: фотографии этикеток обработаны OCR (EasyOCR); визуальный кодировщик CLIP </w:t>
      </w:r>
      <w:r>
        <w:t>[</w:t>
      </w:r>
      <w:r>
        <w:t xml:space="preserve">43] (ViT-B/32) даёт 512-мерный вектор, добавляемый ранней конкатенацией к 384-мерному SBERT-представлению. Покрытие изображениями ≈70 %. Второй — внешний справочник USDA Branded Foods </w:t>
      </w:r>
      <w:r>
        <w:t>[</w:t>
      </w:r>
      <w:r>
        <w:t xml:space="preserve">44], сопоставленный с выборкой приближённым поиском по </w:t>
      </w:r>
      <w:r>
        <w:rPr>
          <w:rFonts w:ascii="Consolas" w:hAnsi="Consolas"/>
          <w:sz w:val="18"/>
          <w:shd w:fill="F5F5F5" w:val="clear"/>
        </w:rPr>
        <w:t>product_name + brands</w:t>
      </w:r>
      <w:r>
        <w:t xml:space="preserve"> (Левенштейн, порог 0,85); даёт независимо измеренные нутриенты для проверки эталона яруса 0.</w:t>
      </w:r>
    </w:p>
    <w:p>
      <w:r>
        <w:t>Оба источника используются только на этапе обучения. В режиме вывода система работает строго с партнёр-доступными полями (3.2.2); это инвариант, соблюдённый во всех оценках 3.3.</w:t>
      </w:r>
    </w:p>
    <w:p>
      <w:pPr>
        <w:pStyle w:val="Heading2"/>
      </w:pPr>
      <w:r>
        <w:rPr>
          <w:rFonts w:ascii="Times New Roman" w:hAnsi="Times New Roman"/>
          <w:color w:val="000000"/>
        </w:rPr>
        <w:t>3.3 Доказательство работоспособности и применимости</w:t>
      </w:r>
    </w:p>
    <w:p>
      <w:pPr>
        <w:pStyle w:val="Heading2"/>
      </w:pPr>
      <w:r>
        <w:rPr>
          <w:rFonts w:ascii="Times New Roman" w:hAnsi="Times New Roman"/>
          <w:color w:val="000000"/>
        </w:rPr>
        <w:t>3.3.1 Условия проверки</w:t>
      </w:r>
    </w:p>
    <w:p>
      <w:pPr>
        <w:pStyle w:val="Heading3"/>
      </w:pPr>
      <w:r>
        <w:rPr>
          <w:rFonts w:ascii="Times New Roman" w:hAnsi="Times New Roman"/>
          <w:color w:val="000000"/>
        </w:rPr>
        <w:t>Тестовая выборка</w:t>
      </w:r>
    </w:p>
    <w:p>
      <w:r>
        <w:t xml:space="preserve">Эксперименты проведены на единой тестовой выборке. Источник эталона — </w:t>
      </w:r>
      <w:r>
        <w:rPr>
          <w:rFonts w:ascii="Consolas" w:hAnsi="Consolas"/>
          <w:sz w:val="18"/>
          <w:shd w:fill="F5F5F5" w:val="clear"/>
        </w:rPr>
        <w:t>consensus_gold_v2_expanded.parquet</w:t>
      </w:r>
      <w:r>
        <w:t xml:space="preserve"> (схема ярусов — 3.2.3). Состав среза: 3 категории, 22 пары (категория, атрибут), 4350 ячеек после фильтрации непустых эталонных значений (234–239 кодов на категорию); уникальных брендов 170 / 163 / 188 (</w:t>
      </w:r>
      <w:r>
        <w:rPr>
          <w:rFonts w:ascii="Consolas" w:hAnsi="Consolas"/>
          <w:sz w:val="18"/>
          <w:shd w:fill="F5F5F5" w:val="clear"/>
        </w:rPr>
        <w:t>headline_v3e_final.parquet</w:t>
      </w:r>
      <w:r>
        <w:t>). Разбиение train/val/test без пересечения брендов выполнено в пропорции 60/20/20.</w:t>
      </w:r>
    </w:p>
    <w:p>
      <w:r>
        <w:t>Независимая проверка эталона. Слепая разметка Claude Opus 4 без доступа к тегам OFF и промежуточным меткам проведена на 2666 кодах × 22 атрибута. Согласованность с эталоном — 95,0 % на 4088 ненулевых ячейках (</w:t>
      </w:r>
      <w:r>
        <w:rPr>
          <w:rFonts w:ascii="Consolas" w:hAnsi="Consolas"/>
          <w:sz w:val="18"/>
          <w:shd w:fill="F5F5F5" w:val="clear"/>
        </w:rPr>
        <w:t>blind_vs_prefill_overall.parquet</w:t>
      </w:r>
      <w:r>
        <w:t>); на 17 из 22 пар согласованность &gt; 92 %, κ Коэна &gt; 0,85. Для трёх нутриент-производных пар Opus в слепом режиме отказывается отвечать в 82–93 % случаев (правило бакетирования требует числовых полей); эталоном там выступает ярус 0.</w:t>
      </w:r>
    </w:p>
    <w:p>
      <w:pPr>
        <w:pStyle w:val="Heading3"/>
      </w:pPr>
      <w:r>
        <w:rPr>
          <w:rFonts w:ascii="Times New Roman" w:hAnsi="Times New Roman"/>
          <w:color w:val="000000"/>
        </w:rPr>
        <w:t>Метрики и доверительные интервалы</w:t>
      </w:r>
    </w:p>
    <w:p>
      <w:r>
        <w:t>Метрики (</w:t>
      </w:r>
      <w:r>
        <w:drawing>
          <wp:inline xmlns:a="http://schemas.openxmlformats.org/drawingml/2006/main" xmlns:pic="http://schemas.openxmlformats.org/drawingml/2006/picture">
            <wp:extent cx="274306" cy="109722"/>
            <wp:docPr id="62" name="Picture 62"/>
            <wp:cNvGraphicFramePr>
              <a:graphicFrameLocks noChangeAspect="1"/>
            </wp:cNvGraphicFramePr>
            <a:graphic>
              <a:graphicData uri="http://schemas.openxmlformats.org/drawingml/2006/picture">
                <pic:pic>
                  <pic:nvPicPr>
                    <pic:cNvPr id="0" name="63b7e93bfa61a06f.png"/>
                    <pic:cNvPicPr/>
                  </pic:nvPicPr>
                  <pic:blipFill>
                    <a:blip r:embed="rId63"/>
                    <a:stretch>
                      <a:fillRect/>
                    </a:stretch>
                  </pic:blipFill>
                  <pic:spPr>
                    <a:xfrm>
                      <a:off x="0" y="0"/>
                      <a:ext cx="274306" cy="109722"/>
                    </a:xfrm>
                    <a:prstGeom prst="rect"/>
                  </pic:spPr>
                </pic:pic>
              </a:graphicData>
            </a:graphic>
          </wp:inline>
        </w:drawing>
      </w:r>
      <w:r>
        <w:t xml:space="preserve">, </w:t>
      </w:r>
      <w:r>
        <w:drawing>
          <wp:inline xmlns:a="http://schemas.openxmlformats.org/drawingml/2006/main" xmlns:pic="http://schemas.openxmlformats.org/drawingml/2006/picture">
            <wp:extent cx="201158" cy="65833"/>
            <wp:docPr id="63" name="Picture 63"/>
            <wp:cNvGraphicFramePr>
              <a:graphicFrameLocks noChangeAspect="1"/>
            </wp:cNvGraphicFramePr>
            <a:graphic>
              <a:graphicData uri="http://schemas.openxmlformats.org/drawingml/2006/picture">
                <pic:pic>
                  <pic:nvPicPr>
                    <pic:cNvPr id="0" name="2ab4e044a8a08582.png"/>
                    <pic:cNvPicPr/>
                  </pic:nvPicPr>
                  <pic:blipFill>
                    <a:blip r:embed="rId64"/>
                    <a:stretch>
                      <a:fillRect/>
                    </a:stretch>
                  </pic:blipFill>
                  <pic:spPr>
                    <a:xfrm>
                      <a:off x="0" y="0"/>
                      <a:ext cx="201158" cy="65833"/>
                    </a:xfrm>
                    <a:prstGeom prst="rect"/>
                  </pic:spPr>
                </pic:pic>
              </a:graphicData>
            </a:graphic>
          </wp:inline>
        </w:drawing>
      </w:r>
      <w:r>
        <w:t xml:space="preserve">, </w:t>
      </w:r>
      <w:r>
        <w:drawing>
          <wp:inline xmlns:a="http://schemas.openxmlformats.org/drawingml/2006/main" xmlns:pic="http://schemas.openxmlformats.org/drawingml/2006/picture">
            <wp:extent cx="270649" cy="128009"/>
            <wp:docPr id="64" name="Picture 64"/>
            <wp:cNvGraphicFramePr>
              <a:graphicFrameLocks noChangeAspect="1"/>
            </wp:cNvGraphicFramePr>
            <a:graphic>
              <a:graphicData uri="http://schemas.openxmlformats.org/drawingml/2006/picture">
                <pic:pic>
                  <pic:nvPicPr>
                    <pic:cNvPr id="0" name="54c467f1a66d0ac1.png"/>
                    <pic:cNvPicPr/>
                  </pic:nvPicPr>
                  <pic:blipFill>
                    <a:blip r:embed="rId65"/>
                    <a:stretch>
                      <a:fillRect/>
                    </a:stretch>
                  </pic:blipFill>
                  <pic:spPr>
                    <a:xfrm>
                      <a:off x="0" y="0"/>
                      <a:ext cx="270649" cy="128009"/>
                    </a:xfrm>
                    <a:prstGeom prst="rect"/>
                  </pic:spPr>
                </pic:pic>
              </a:graphicData>
            </a:graphic>
          </wp:inline>
        </w:drawing>
      </w:r>
      <w:r>
        <w:t>, стоимость) определены в 2.1.4. Доверительные интервалы — кластерный бутстрэп по брендам: 1000 итераций, перцентили 2,5 % и 97,5 % (</w:t>
      </w:r>
      <w:r>
        <w:rPr>
          <w:rFonts w:ascii="Consolas" w:hAnsi="Consolas"/>
          <w:sz w:val="18"/>
          <w:shd w:fill="F5F5F5" w:val="clear"/>
        </w:rPr>
        <w:t>src/diagnostics/ml/bootstrap_ci_brand_clustered.py</w:t>
      </w:r>
      <w:r>
        <w:t>). Такой интервал учитывает внутрибрендовую корреляцию ошибок и на ряде атрибутов на 15–30 % шире наивного интервала Вильсона.</w:t>
      </w:r>
    </w:p>
    <w:p>
      <w:pPr>
        <w:pStyle w:val="Heading3"/>
      </w:pPr>
      <w:r>
        <w:rPr>
          <w:rFonts w:ascii="Times New Roman" w:hAnsi="Times New Roman"/>
          <w:color w:val="000000"/>
        </w:rPr>
        <w:t>Стратификация точности по типу эталонного сигнала</w:t>
      </w:r>
    </w:p>
    <w:p>
      <w:r>
        <w:t>Если бы точность завышалась структурной корреляцией признаков модели с источником эталона, то наиболее уязвимый ярус 2 (текстово-производный) показывал бы наибольшие значения. Результат обратный (таблица 3.3.1.1).</w:t>
      </w:r>
    </w:p>
    <w:p>
      <w:pPr>
        <w:jc w:val="left"/>
        <w:ind w:firstLine="0"/>
      </w:pPr>
      <w:r>
        <w:t xml:space="preserve">Таблица 3.3.1.1. Точность каскада в разрезе типа эталонного сигнала. Источник: </w:t>
      </w:r>
      <w:r>
        <w:rPr>
          <w:rFonts w:ascii="Consolas" w:hAnsi="Consolas"/>
          <w:sz w:val="18"/>
          <w:shd w:fill="F5F5F5" w:val="clear"/>
        </w:rPr>
        <w:t>datasets/processed/tier_breakdown.parquet</w:t>
      </w:r>
      <w:r>
        <w:t>.</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rPr>
          <w:tblHeader/>
        </w:trPr>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Ярус сигнала</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Содержательная природа</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Атрибутов</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Ячеек</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95 % CI</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Ярус 0 (нутриент-производный)</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Детерминированное бакетирование числовых полей OFF</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3</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354</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83,33</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79,12; 87,20]</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Ярус 1 (тег-производный)</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Регуляторные теги OFF, защищённые правом ЕС</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6</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1 912</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93,62</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92,45; 94,69]</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Ярус 2 (текстово-производный)</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Согласие трёх LLM с проверкой Opus 4 на спорных</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9</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2 084</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81,81</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80,07; 83,61]</w:t>
            </w:r>
          </w:p>
        </w:tc>
      </w:tr>
    </w:tbl>
    <w:p/>
    <w:p>
      <w:pPr>
        <w:jc w:val="left"/>
      </w:pPr>
      <w:r>
        <w:drawing>
          <wp:inline xmlns:a="http://schemas.openxmlformats.org/drawingml/2006/main" xmlns:pic="http://schemas.openxmlformats.org/drawingml/2006/picture">
            <wp:extent cx="5733288" cy="3211144"/>
            <wp:docPr id="65" name="Picture 65"/>
            <wp:cNvGraphicFramePr>
              <a:graphicFrameLocks noChangeAspect="1"/>
            </wp:cNvGraphicFramePr>
            <a:graphic>
              <a:graphicData uri="http://schemas.openxmlformats.org/drawingml/2006/picture">
                <pic:pic>
                  <pic:nvPicPr>
                    <pic:cNvPr id="0" name="tier_breakdown.png"/>
                    <pic:cNvPicPr/>
                  </pic:nvPicPr>
                  <pic:blipFill>
                    <a:blip r:embed="rId66"/>
                    <a:stretch>
                      <a:fillRect/>
                    </a:stretch>
                  </pic:blipFill>
                  <pic:spPr>
                    <a:xfrm>
                      <a:off x="0" y="0"/>
                      <a:ext cx="5733288" cy="3211144"/>
                    </a:xfrm>
                    <a:prstGeom prst="rect"/>
                  </pic:spPr>
                </pic:pic>
              </a:graphicData>
            </a:graphic>
          </wp:inline>
        </w:drawing>
      </w:r>
    </w:p>
    <w:p>
      <w:pPr>
        <w:jc w:val="left"/>
        <w:ind w:firstLine="0"/>
      </w:pPr>
      <w:r>
        <w:t>Рисунок 3.2 — Точность каскада в разрезе ярусов эталонной разметки</w:t>
      </w:r>
    </w:p>
    <w:p>
      <w:r>
        <w:t>Точность на ярусе 2 — наименьшая (81,8 %, на 11,8 п. п. ниже яруса 1). На ярусе 1, где эталон порождён внешним источником (правовые регистры сертификаций), точность наиболее высокая (93,6 %). Это опровергает гипотезу о завышении метрик за счёт зависимости признаков от эталона. На ярусе 0 показатель снижен парой cheeses/fat_class (73,8 %) — классификация жирности сыра объективно сложна.</w:t>
      </w:r>
    </w:p>
    <w:p>
      <w:pPr>
        <w:pStyle w:val="Heading3"/>
      </w:pPr>
      <w:r>
        <w:rPr>
          <w:rFonts w:ascii="Times New Roman" w:hAnsi="Times New Roman"/>
          <w:color w:val="000000"/>
        </w:rPr>
        <w:t>Воспроизводимость</w:t>
      </w:r>
    </w:p>
    <w:p>
      <w:r>
        <w:t xml:space="preserve">Все численные результаты 3.3 регенерируются из артефактов через </w:t>
      </w:r>
      <w:r>
        <w:rPr>
          <w:rFonts w:ascii="Consolas" w:hAnsi="Consolas"/>
          <w:sz w:val="18"/>
          <w:shd w:fill="F5F5F5" w:val="clear"/>
        </w:rPr>
        <w:t>reproduce.sh</w:t>
      </w:r>
      <w:r>
        <w:t xml:space="preserve"> (≈час на типовом ноутбуке). Численные результаты 3.3.2 получены post-hoc после устранения утечки бренда и не претендуют на предзарегистрированный статус. Единственной предзарегистрированной гипотезой является H1 для обучаемого маршрутизатора (3.3.5).</w:t>
      </w:r>
    </w:p>
    <w:p>
      <w:pPr>
        <w:pStyle w:val="Heading2"/>
      </w:pPr>
      <w:r>
        <w:rPr>
          <w:rFonts w:ascii="Times New Roman" w:hAnsi="Times New Roman"/>
          <w:color w:val="000000"/>
        </w:rPr>
        <w:t>3.3.2 — Главный результат: точность и стоимость производственной конфигурации</w:t>
      </w:r>
    </w:p>
    <w:p>
      <w:r>
        <w:t xml:space="preserve">Подраздел представляет центральный количественный результат: каскад сопоставлен с пятью одиночными вызовами LLM разной мощности и стоимости. На едином тестовом срезе без пересечения брендов показано доминирование каскада по Парето сразу по двум осям. Тем самым результат стоимостно-чувствительных каскадов LLM (FrugalGPT </w:t>
      </w:r>
      <w:r>
        <w:t>[</w:t>
      </w:r>
      <w:r>
        <w:t xml:space="preserve">9], AutoMix </w:t>
      </w:r>
      <w:r>
        <w:t>[</w:t>
      </w:r>
      <w:r>
        <w:t xml:space="preserve">10], Hybrid LLM </w:t>
      </w:r>
      <w:r>
        <w:t>[</w:t>
      </w:r>
      <w:r>
        <w:t>11]) расширяется на задачу обогащения каталогов; впервые количественно фиксируется выигрыш для открытой малой модели в роли запасного слоя.</w:t>
      </w:r>
    </w:p>
    <w:p>
      <w:pPr>
        <w:pStyle w:val="Heading3"/>
      </w:pPr>
      <w:r>
        <w:rPr>
          <w:rFonts w:ascii="Times New Roman" w:hAnsi="Times New Roman"/>
          <w:color w:val="000000"/>
        </w:rPr>
        <w:t>3.3.2.1 — Состав, условия проверки и матрица «точность–стоимость»</w:t>
      </w:r>
    </w:p>
    <w:p>
      <w:r>
        <w:t>Оценка на 4350 ячейках без пересечения брендов (3.3.1); по атрибутам pasta/nutri_score_grade и pasta/protein_class срез сокращён до 21 и 24 ячеек из-за полноты нутри-разметки в OFF. В роли Слой 4 и базовой «одна LLM на всё» — пять моделей: Claude Sonnet 4.5, GPT-4o, Gemini 2.5 Flash (закрытые), gpt-oss-120b и llama-3.2-3b (открытые).</w:t>
      </w:r>
    </w:p>
    <w:p>
      <w:r>
        <w:t xml:space="preserve">Сводная таблица фиксирует сквозную точность и относительную стоимость десяти стратегий: пять одиночных LLM, пять каскадных конфигураций с теми же моделями и базовый каскад без LLM. Стоимость нормирована к «все ячейки решаются Sonnet 4.5»; соотношение токенов вход/выход — ≈500 / 200; тарифы — в подписи. Источник: </w:t>
      </w:r>
      <w:r>
        <w:rPr>
          <w:rFonts w:ascii="Consolas" w:hAnsi="Consolas"/>
          <w:sz w:val="18"/>
          <w:shd w:fill="F5F5F5" w:val="clear"/>
        </w:rPr>
        <w:t>grand_acc_summary_after_fix.parquet</w:t>
      </w:r>
      <w:r>
        <w:t>. Каскад покрывает 96,7 % ячеек, LLM делается на 3,3 % — множитель 0,033 относительно одиночной LLM.</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rPr>
          <w:tblHeader/>
        </w:trP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Стратегия</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Сквозная точность</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Стоимость к опорной</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Снижение стоимости</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all-sonnet (Claude Sonnet 4.5) — опорная конфигурация</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83,79 %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1,000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all-gpt-4o</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84,05 %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0,727</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1,4×</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all-gemini-flash (Gemini 2.5 Flash)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82,90 %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0,042</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24×</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all-gpt-oss-120b (открытая модель)</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69,34 %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0,030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33×</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all-llama-3b (открытая малая модель)</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56,19 %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0,009</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110×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каскад + sonnet (Слой 4)</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92,78 %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0,033</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30×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каскад + gpt-4o</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92,90 %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0,024</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42×</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каскад + gemini-flash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92,78 %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0,0014</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720×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каскад + gpt-oss-120b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92,32 %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0,0010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1007×</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каскад + llama-3b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91,87 %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0,0003</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3356×</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только каскад (без запасного слоя LLM)</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90,48 %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p>
        </w:tc>
      </w:tr>
    </w:tbl>
    <w:p/>
    <w:p>
      <w:r>
        <w:t>Источники тарифов: Sonnet 4.5 — 3 / 15 долларов за миллион токенов на вход / выход (нормализованная единица), GPT-4o — 2,5 / 10, Gemini 2.5 Flash — 0,075 / 0,30, gpt-oss-120b через OpenRouter — около 0,10 долларов за миллион токенов на запрос смешанной структуры, llama-3.2-3b через OpenRouter — около 0,03 долларов за миллион.</w:t>
      </w:r>
    </w:p>
    <w:p>
      <w:pPr>
        <w:jc w:val="left"/>
      </w:pPr>
      <w:r>
        <w:drawing>
          <wp:inline xmlns:a="http://schemas.openxmlformats.org/drawingml/2006/main" xmlns:pic="http://schemas.openxmlformats.org/drawingml/2006/picture">
            <wp:extent cx="5733288" cy="3288967"/>
            <wp:docPr id="66" name="Picture 66"/>
            <wp:cNvGraphicFramePr>
              <a:graphicFrameLocks noChangeAspect="1"/>
            </wp:cNvGraphicFramePr>
            <a:graphic>
              <a:graphicData uri="http://schemas.openxmlformats.org/drawingml/2006/picture">
                <pic:pic>
                  <pic:nvPicPr>
                    <pic:cNvPr id="0" name="cost_quality_scatter.png"/>
                    <pic:cNvPicPr/>
                  </pic:nvPicPr>
                  <pic:blipFill>
                    <a:blip r:embed="rId67"/>
                    <a:stretch>
                      <a:fillRect/>
                    </a:stretch>
                  </pic:blipFill>
                  <pic:spPr>
                    <a:xfrm>
                      <a:off x="0" y="0"/>
                      <a:ext cx="5733288" cy="3288967"/>
                    </a:xfrm>
                    <a:prstGeom prst="rect"/>
                  </pic:spPr>
                </pic:pic>
              </a:graphicData>
            </a:graphic>
          </wp:inline>
        </w:drawing>
      </w:r>
    </w:p>
    <w:p>
      <w:pPr>
        <w:jc w:val="left"/>
        <w:ind w:firstLine="0"/>
      </w:pPr>
      <w:r>
        <w:t>Рисунок 3.3 — Матрица «точность — стоимость» каскадных конфигураций и одиночных вызовов больших языковых моделей</w:t>
      </w:r>
    </w:p>
    <w:p>
      <w:r>
        <w:t>Из матрицы (рис. 3.2) следует двухчастный главный результат.</w:t>
      </w:r>
    </w:p>
    <w:p>
      <w:r>
        <w:rPr>
          <w:b/>
        </w:rPr>
        <w:t>Часть (а) — независимость от поставщика модели.</w:t>
      </w:r>
      <w:r>
        <w:t xml:space="preserve"> Каскад + Gemini 2.5 Flash даёт 92,78 % при стоимости в 720 раз ниже all-sonnet (83,79 %) — прирост +9,0 п. п. при снижении стоимости на два порядка; строгое Парето-доминирование. Результат сохраняется на любой модели верхнего сегмента: каскад + sonnet (92,78 %) и каскад + gpt-4o (92,90 %) также превосходят одиночный вызов той же модели по обеим осям.</w:t>
      </w:r>
    </w:p>
    <w:p>
      <w:r>
        <w:rPr>
          <w:b/>
        </w:rPr>
        <w:t>Часть (б) — сценарий локального развёртывания с открытой моделью.</w:t>
      </w:r>
      <w:r>
        <w:t xml:space="preserve"> Каскад + gpt-oss-120b — 92,32 %, на +23,0 п. п. выше одиночного вызова (69,34 %); доля обращений к LLM сокращается ≈в 30 раз. Каскад компенсирует слабость малой модели на нутриент-производных атрибутах (nutri_score_grade, protein_class, fat_class) за счёт Слой 2, оставляя Слой 4 только сложные семантические случаи.</w:t>
      </w:r>
    </w:p>
    <w:p>
      <w:pPr>
        <w:pStyle w:val="Heading3"/>
      </w:pPr>
      <w:r>
        <w:rPr>
          <w:rFonts w:ascii="Times New Roman" w:hAnsi="Times New Roman"/>
          <w:color w:val="000000"/>
        </w:rPr>
        <w:t>3.3.2.3 — Декомпозиция по категориям</w:t>
      </w:r>
    </w:p>
    <w:p>
      <w:r>
        <w:t xml:space="preserve">Покрытие каскада, точность только-каскадной и гибридной конфигураций и разность Δ — вклад запасного слоя — для модели gemini-flash в таблице 3.3.2.2. Источники: </w:t>
      </w:r>
      <w:r>
        <w:rPr>
          <w:rFonts w:ascii="Consolas" w:hAnsi="Consolas"/>
          <w:sz w:val="18"/>
          <w:shd w:fill="F5F5F5" w:val="clear"/>
        </w:rPr>
        <w:t>headline_v3e_after_fix.parquet</w:t>
      </w:r>
      <w:r>
        <w:t xml:space="preserve"> + </w:t>
      </w:r>
      <w:r>
        <w:rPr>
          <w:rFonts w:ascii="Consolas" w:hAnsi="Consolas"/>
          <w:sz w:val="18"/>
          <w:shd w:fill="F5F5F5" w:val="clear"/>
        </w:rPr>
        <w:t>cascade_plus_llm4_hybrid.parquet</w:t>
      </w:r>
      <w:r>
        <w:t>; режим идеальной маршрутизации.</w:t>
      </w:r>
    </w:p>
    <w:p>
      <w:pPr>
        <w:jc w:val="left"/>
        <w:ind w:firstLine="0"/>
      </w:pPr>
      <w:r>
        <w:t>Таблица 3.3.2.2 — Покрытие и точность каскадной и гибридной конфигураций по категориям (модель gemini-flash, идеальная маршрутизация Слоя 0)</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trP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Покрытие каскада</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Только каскад</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каскад + gemini-flash</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Δ от запасного слоя</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pasta</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97,1 %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93,3 %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95,8 %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+2,5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chocolate</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96,4 %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87,4 %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90,1 %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+2,7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cheeses</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96,6 %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90,4 %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92,2 %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+1,8 п. п.</w:t>
            </w:r>
          </w:p>
        </w:tc>
      </w:tr>
    </w:tbl>
    <w:p/>
    <w:p>
      <w:r>
        <w:t>Взвешенное по числу тестовых ячеек 1 423 / 1 270 / 1 657 среднее по строке «каскад + gemini-flash» составляет 92,78 %. Производственное значение с учётом ошибок Слой 0 приблизительно на 2,4 п. п. ниже (3.3.2.6).</w:t>
      </w:r>
    </w:p>
    <w:p>
      <w:r>
        <w:t>Распределение вклада запасного слоя вытекает из архитектуры. Pasta располагает наиболее развитым Слой 1: покрытие каскада 97,1 %, на запасной слой передаются редкие случаи. Cheeses правил Слой 1 не имеет, ячейки покрывает Слой 2 (96,6 %), запасной слой берёт 3,4 % самых сложных текстовых ячеек. Это показывает взаимодополнение слоёв.</w:t>
      </w:r>
    </w:p>
    <w:p>
      <w:pPr>
        <w:jc w:val="left"/>
      </w:pPr>
      <w:r>
        <w:drawing>
          <wp:inline xmlns:a="http://schemas.openxmlformats.org/drawingml/2006/main" xmlns:pic="http://schemas.openxmlformats.org/drawingml/2006/picture">
            <wp:extent cx="5733288" cy="2410229"/>
            <wp:docPr id="67" name="Picture 67"/>
            <wp:cNvGraphicFramePr>
              <a:graphicFrameLocks noChangeAspect="1"/>
            </wp:cNvGraphicFramePr>
            <a:graphic>
              <a:graphicData uri="http://schemas.openxmlformats.org/drawingml/2006/picture">
                <pic:pic>
                  <pic:nvPicPr>
                    <pic:cNvPr id="0" name="layer_contribution.png"/>
                    <pic:cNvPicPr/>
                  </pic:nvPicPr>
                  <pic:blipFill>
                    <a:blip r:embed="rId68"/>
                    <a:stretch>
                      <a:fillRect/>
                    </a:stretch>
                  </pic:blipFill>
                  <pic:spPr>
                    <a:xfrm>
                      <a:off x="0" y="0"/>
                      <a:ext cx="5733288" cy="2410229"/>
                    </a:xfrm>
                    <a:prstGeom prst="rect"/>
                  </pic:spPr>
                </pic:pic>
              </a:graphicData>
            </a:graphic>
          </wp:inline>
        </w:drawing>
      </w:r>
    </w:p>
    <w:p>
      <w:pPr>
        <w:jc w:val="left"/>
        <w:ind w:firstLine="0"/>
      </w:pPr>
      <w:r>
        <w:t>Рисунок 3.4 — Поатрибутный вклад слоёв каскада в сквозную точность</w:t>
      </w:r>
    </w:p>
    <w:p>
      <w:pPr>
        <w:pStyle w:val="Heading3"/>
      </w:pPr>
      <w:r>
        <w:rPr>
          <w:rFonts w:ascii="Times New Roman" w:hAnsi="Times New Roman"/>
          <w:color w:val="000000"/>
        </w:rPr>
        <w:t>3.3.2.4 — Поатрибутная картина точности и доверительные интервалы</w:t>
      </w:r>
    </w:p>
    <w:p>
      <w:r>
        <w:t xml:space="preserve">Для каждого из 22 атрибутов вычислена точность только-каскадной конфигурации с интервалом Вильсона (полная таблица — </w:t>
      </w:r>
      <w:r>
        <w:rPr>
          <w:rFonts w:ascii="Consolas" w:hAnsi="Consolas"/>
          <w:sz w:val="18"/>
          <w:shd w:fill="F5F5F5" w:val="clear"/>
        </w:rPr>
        <w:t>headline_v3e_after_fix.parquet</w:t>
      </w:r>
      <w:r>
        <w:t xml:space="preserve">). Три лучших: cheeses/milk_source 99,2 % (n=238, </w:t>
      </w:r>
      <w:r>
        <w:t>[</w:t>
      </w:r>
      <w:r>
        <w:t xml:space="preserve">96,99; 99,77]), pasta/is_filled 98,7 % (n=239, </w:t>
      </w:r>
      <w:r>
        <w:t>[</w:t>
      </w:r>
      <w:r>
        <w:t xml:space="preserve">96,38; 99,57]), pasta/is_gluten_free 98,3 % (n=239, </w:t>
      </w:r>
      <w:r>
        <w:t>[</w:t>
      </w:r>
      <w:r>
        <w:t xml:space="preserve">95,78; 99,35]). Три худших: chocolate/protein_class 52,4 % (n=42, </w:t>
      </w:r>
      <w:r>
        <w:t>[</w:t>
      </w:r>
      <w:r>
        <w:t xml:space="preserve">37,72; 66,64]), cheeses/fat_class 63,6 % (n=225, </w:t>
      </w:r>
      <w:r>
        <w:t>[</w:t>
      </w:r>
      <w:r>
        <w:t xml:space="preserve">57,09; 69,57]), pasta/protein_class 66,7 % (n=24, </w:t>
      </w:r>
      <w:r>
        <w:t>[</w:t>
      </w:r>
      <w:r>
        <w:t>46,71; 82,03]).</w:t>
      </w:r>
    </w:p>
    <w:p>
      <w:r>
        <w:t>В 3.3.7.4 описаны поатрибутные архитектурные решения (сужение Слой 1, понижение порогов Слой 2, гибридные признаки). Запасной слой остаётся доступным на ≈3 % сложных ячеек, где Слой 1/2 не отвечают уверенно: pasta/protein_class, chocolate/protein_class, cheeses/fat_class.</w:t>
      </w:r>
    </w:p>
    <w:p>
      <w:pPr>
        <w:pStyle w:val="Heading3"/>
      </w:pPr>
      <w:r>
        <w:rPr>
          <w:rFonts w:ascii="Times New Roman" w:hAnsi="Times New Roman"/>
          <w:color w:val="000000"/>
        </w:rPr>
        <w:t>3.3.2.5 — Анализ доминирования по Парето: почему каскад превосходит одиночный вызов LLM</w:t>
      </w:r>
    </w:p>
    <w:p>
      <w:r>
        <w:t>Доминирование каскада объясняется структурно. LLM системно проигрывает на производных числовых атрибутах: точность Sonnet 4.5 на chocolate/cocoa_percentage — 67,2 %, на cheeses/fat_class — 26,2 % (</w:t>
      </w:r>
      <w:r>
        <w:rPr>
          <w:rFonts w:ascii="Consolas" w:hAnsi="Consolas"/>
          <w:sz w:val="18"/>
          <w:shd w:fill="F5F5F5" w:val="clear"/>
        </w:rPr>
        <w:t>cascade_plus_llm4_hybrid.parquet</w:t>
      </w:r>
      <w:r>
        <w:t>). Причина — метки этих атрибутов определяются бакетированием числовых полей, которых в тексте нет. XGBoost Слой 2 на SBERT-эмбеддингах опирается на устойчивые корреляции «бренд — числовое поле». Точность каскада растёт за счёт перенаправления таких атрибутов на ML-слой; стоимость падает за счёт сокращения вызовов LLM до 3,3 % ячеек.</w:t>
      </w:r>
    </w:p>
    <w:p>
      <w:pPr>
        <w:pStyle w:val="Heading3"/>
      </w:pPr>
      <w:r>
        <w:rPr>
          <w:rFonts w:ascii="Times New Roman" w:hAnsi="Times New Roman"/>
          <w:color w:val="000000"/>
        </w:rPr>
        <w:t>3.3.2.6 — Учёт точности маршрутизатора первого уровня</w:t>
      </w:r>
    </w:p>
    <w:p>
      <w:r>
        <w:t>Значения рисунка 3.4 — в режиме идеальной маршрутизации. В производстве категорию определяет Слой 0 (3.1.1) с точностью 96,3 % / 98,5 % / 97,7 % по категориям (</w:t>
      </w:r>
      <w:r>
        <w:rPr>
          <w:rFonts w:ascii="Consolas" w:hAnsi="Consolas"/>
          <w:sz w:val="18"/>
          <w:shd w:fill="F5F5F5" w:val="clear"/>
        </w:rPr>
        <w:t>cascade_layer0_eval.parquet</w:t>
      </w:r>
      <w:r>
        <w:t>). С учётом ошибок Слой 0 заголовочная точность 92,78 % понижается ≈на 2,4 п. п. равномерно по всем строкам; вывод о доминировании каскада сохраняется.</w:t>
      </w:r>
    </w:p>
    <w:p>
      <w:pPr>
        <w:pStyle w:val="Heading2"/>
      </w:pPr>
      <w:r>
        <w:rPr>
          <w:rFonts w:ascii="Times New Roman" w:hAnsi="Times New Roman"/>
          <w:color w:val="000000"/>
        </w:rPr>
        <w:t>3.3.3 Вклад каждого слоя каскада</w:t>
      </w:r>
    </w:p>
    <w:p>
      <w:r>
        <w:t xml:space="preserve">Подраздел декомпозирует итоговую точность по слоям: охват, точность на собственном срезе и средняя калибровочная ошибка ECE для Слой 2. Артефакты — </w:t>
      </w:r>
      <w:r>
        <w:rPr>
          <w:rFonts w:ascii="Consolas" w:hAnsi="Consolas"/>
          <w:sz w:val="18"/>
          <w:shd w:fill="F5F5F5" w:val="clear"/>
        </w:rPr>
        <w:t>cascade_preds_{pasta,chocolate,cheeses}_v2_gold_hybrid_v3_fixed.parquet</w:t>
      </w:r>
      <w:r>
        <w:t xml:space="preserve">, </w:t>
      </w:r>
      <w:r>
        <w:rPr>
          <w:rFonts w:ascii="Consolas" w:hAnsi="Consolas"/>
          <w:sz w:val="18"/>
          <w:shd w:fill="F5F5F5" w:val="clear"/>
        </w:rPr>
        <w:t>headline_v3e_final.parquet</w:t>
      </w:r>
      <w:r>
        <w:t xml:space="preserve">, </w:t>
      </w:r>
      <w:r>
        <w:rPr>
          <w:rFonts w:ascii="Consolas" w:hAnsi="Consolas"/>
          <w:sz w:val="18"/>
          <w:shd w:fill="F5F5F5" w:val="clear"/>
        </w:rPr>
        <w:t>ece_calibration_table.parquet</w:t>
      </w:r>
      <w:r>
        <w:t>.</w:t>
      </w:r>
    </w:p>
    <w:p>
      <w:pPr>
        <w:pStyle w:val="Heading3"/>
      </w:pPr>
      <w:r>
        <w:rPr>
          <w:rFonts w:ascii="Times New Roman" w:hAnsi="Times New Roman"/>
          <w:color w:val="000000"/>
        </w:rPr>
        <w:t>3.3.3.1 Распределение закрытий по слоям</w:t>
      </w:r>
    </w:p>
    <w:p>
      <w:r>
        <w:t xml:space="preserve">Закрытие — событие выдачи уверенного ответа без передачи дальше. Доли по слоям (колонка layer в </w:t>
      </w:r>
      <w:r>
        <w:rPr>
          <w:rFonts w:ascii="Consolas" w:hAnsi="Consolas"/>
          <w:sz w:val="18"/>
          <w:shd w:fill="F5F5F5" w:val="clear"/>
        </w:rPr>
        <w:t>cascade_preds_*</w:t>
      </w:r>
      <w:r>
        <w:t>) — таблица 3.3.3.1. Подсчёт ведётся по всем 24 парам (см. 3.2.2); суммарно 5258 ячеек (больше 4350 из 3.3.1, где отбрасываются непустые эталоны по 22 парам).</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trP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Слой 1 (regex)</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Слой 2 (ML)</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Отказ (передача на слой 4)</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Всего ячеек</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pasta</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18,0 % (344)</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73,8 % (1412)</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8,2 % (156)</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1912</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chocolate</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22,7 % (380)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71,9 % (1203)</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5,4 % (90)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1673</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cheeses</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2,8 % (47)</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93,7 % (1567)</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3,5 % (59)</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1673</w:t>
            </w:r>
          </w:p>
        </w:tc>
      </w:tr>
    </w:tbl>
    <w:p/>
    <w:p>
      <w:r>
        <w:t>Распределение неоднородно: pasta и chocolate располагают наиболее полным набором правил (18,0 % и 22,7 % закрытий на Слой 1 соответственно); cheeses имеет узкий набор правил (milk_source / is_pdo / is_ultra_processed) с покрытием 2,8 %, что отражает плохую параметризуемость доменных сигналов сыра (текстура, страна происхождения, класс жирности) регулярными выражениями — эти атрибуты переданы на ML-слой.</w:t>
      </w:r>
    </w:p>
    <w:p>
      <w:pPr>
        <w:pStyle w:val="Heading3"/>
      </w:pPr>
      <w:r>
        <w:rPr>
          <w:rFonts w:ascii="Times New Roman" w:hAnsi="Times New Roman"/>
          <w:color w:val="000000"/>
        </w:rPr>
        <w:t>3.3.3.2 Точность каждого слоя на собственном срезе закрытий</w:t>
      </w:r>
    </w:p>
    <w:p>
      <w:r>
        <w:t xml:space="preserve">Точность получена сопоставлением </w:t>
      </w:r>
      <w:r>
        <w:rPr>
          <w:rFonts w:ascii="Consolas" w:hAnsi="Consolas"/>
          <w:sz w:val="18"/>
          <w:shd w:fill="F5F5F5" w:val="clear"/>
        </w:rPr>
        <w:t>cascade_preds_*</w:t>
      </w:r>
      <w:r>
        <w:t xml:space="preserve"> с </w:t>
      </w:r>
      <w:r>
        <w:rPr>
          <w:rFonts w:ascii="Consolas" w:hAnsi="Consolas"/>
          <w:sz w:val="18"/>
          <w:shd w:fill="F5F5F5" w:val="clear"/>
        </w:rPr>
        <w:t>consensus_gold_v2_expanded.parquet</w:t>
      </w:r>
      <w:r>
        <w:t xml:space="preserve"> (только ненулевые эталоны).</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rPr>
          <w:tblHeader/>
        </w:trP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Слой 1: точность (n)</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Слой 2: точность (n)</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pasta</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90,5 % (327)</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98,6 % (1035)</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chocolate</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87,0 % (370)</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94,9 % (802)</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cheeses</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100,0 % (47)</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93,5 % (1549)</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cheeses</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96,3 % (1443)</w:t>
            </w:r>
          </w:p>
        </w:tc>
      </w:tr>
    </w:tbl>
    <w:p/>
    <w:p>
      <w:r>
        <w:t>Точность Слой 1 на закрытых ячейках 87,0–90,5 % (ниже 100 % из-за намеренно широких regex-шаблонов и пограничных значений при бакетировании cocoa_percentage). Точность Слой 2 — 94,9–98,6 %; стабильно выше любого одиночного вызова LLM на той же категории, так как слой работает только на ячейках, прошедших калиброванный порог.</w:t>
      </w:r>
    </w:p>
    <w:p>
      <w:r>
        <w:t xml:space="preserve">Точность запасного слоя на отказных ячейках оценена через поатрибутную точность LLM, взвешенную по числу отказных ячеек (формула acc_hybrid_proxy в </w:t>
      </w:r>
      <w:r>
        <w:rPr>
          <w:rFonts w:ascii="Consolas" w:hAnsi="Consolas"/>
          <w:sz w:val="18"/>
          <w:shd w:fill="F5F5F5" w:val="clear"/>
        </w:rPr>
        <w:t>cascade_plus_llm4_hybrid.parquet</w:t>
      </w:r>
      <w:r>
        <w:t>): Gemini 2.5 Flash — 78,8 %, Claude Sonnet 4.5 — 76,7 %, gpt-oss-120b — 67,2 %. Эти значения ниже Слой 1/2 и отражают повышенную сложность отказных ячеек.</w:t>
      </w:r>
    </w:p>
    <w:p>
      <w:pPr>
        <w:pStyle w:val="Heading3"/>
      </w:pPr>
      <w:r>
        <w:rPr>
          <w:rFonts w:ascii="Times New Roman" w:hAnsi="Times New Roman"/>
          <w:color w:val="000000"/>
        </w:rPr>
        <w:t>3.3.3.3 Поатрибутная калибровочная ошибка до и после калибровки</w:t>
      </w:r>
    </w:p>
    <w:p>
      <w:r>
        <w:t>Поатрибутная ожидаемая калибровочная ошибка (ECE) рассчитана по 10 равновеликим бинам (</w:t>
      </w:r>
      <w:r>
        <w:rPr>
          <w:rFonts w:ascii="Consolas" w:hAnsi="Consolas"/>
          <w:sz w:val="18"/>
          <w:shd w:fill="F5F5F5" w:val="clear"/>
        </w:rPr>
        <w:t>ece_calibration_table.parquet</w:t>
      </w:r>
      <w:r>
        <w:t>). Среднее ECE сырого XGBoost — 0,070 (по 22 замерам); у большинства атрибутов не превосходит 0,08. Повышенная ошибка: cheeses/fat_class (0,22), chocolate/chocolate_type (0,14), chocolate/protein_class (0,11).</w:t>
      </w:r>
    </w:p>
    <w:p>
      <w:r>
        <w:t>Изотоническая пост-калибровка на серебряной выборке локально улучшает проблемные атрибуты (chocolate/chocolate_type −7,8 п. п., cheeses/fat_class −6,0 п. п.), но в среднем по 20 атрибутам ECE ухудшается на +0,012 за счёт деградации на других (chocolate/cocoa_percentage: −26,0 п. п.). Эффект объясняется дрейфом разметки между серебряной (теги OFF) и эталонной (консенсус LLM) выборками.</w:t>
      </w:r>
    </w:p>
    <w:p>
      <w:r>
        <w:t>Для устранения дрейфа проведена изотоническая калибровка на распределении эталонной выборки по схеме 5-кратной перекрёстной валидации: на каждом фолде отображение строится на 4 частях и оценивается на отложенной (</w:t>
      </w:r>
      <w:r>
        <w:rPr>
          <w:rFonts w:ascii="Consolas" w:hAnsi="Consolas"/>
          <w:sz w:val="18"/>
          <w:shd w:fill="F5F5F5" w:val="clear"/>
        </w:rPr>
        <w:t>ece_kfold_gold_table.parquet</w:t>
      </w:r>
      <w:r>
        <w:t xml:space="preserve">, </w:t>
      </w:r>
      <w:r>
        <w:rPr>
          <w:rFonts w:ascii="Consolas" w:hAnsi="Consolas"/>
          <w:sz w:val="18"/>
          <w:shd w:fill="F5F5F5" w:val="clear"/>
        </w:rPr>
        <w:t>src/diagnostics/ml/ece_kfold_gold.py</w:t>
      </w:r>
      <w:r>
        <w:t>). Среднее ECE падает с 0,070 до 0,043 (−2,78 п. п. в среднем), положительный эффект на 18 из 22 атрибутов. Наибольшие улучшения концентрируются на парах с высокой исходной ошибкой: cheeses/fat_class (0,220 → 0,075, −14,5 п. п.), chocolate/chocolate_type (0,139 → 0,052, −8,7 п. п.), chocolate/protein_class (0,111 → 0,041, −7,0 п. п.), pasta/is_organic (0,084 → 0,016, −6,9 п. п.). Ухудшение — у четырёх атрибутов с изначально низкой ECE: cheeses/country_of_origin (0,015 → 0,064), cheeses/is_ultra_processed (0,025 → 0,056), pasta/pasta_shape (0,046 → 0,060), chocolate/contains_nuts (0,055 → 0,058); здесь доминируют выборочные колебания. В производственную конфигурацию калибровка пока не включена (см. 5.5).</w:t>
      </w:r>
    </w:p>
    <w:p>
      <w:r>
        <w:t>Итог: Слой 1 закрывает 2,8–22,7 % ячеек (точность 87,0–100 % в зависимости от категории и шаблона); Слой 2 — 71,9–93,7 % (93,5–98,6 %); Слой 4 — 3,5–8,2 % (67,2–78,8 % в зависимости от модели). Среднее ECE по Слой 2 — 0,070; серебряная пост-калибровка устойчивого эффекта не даёт.</w:t>
      </w:r>
    </w:p>
    <w:p>
      <w:pPr>
        <w:pStyle w:val="Heading3"/>
      </w:pPr>
      <w:r>
        <w:rPr>
          <w:rFonts w:ascii="Times New Roman" w:hAnsi="Times New Roman"/>
          <w:color w:val="000000"/>
        </w:rPr>
        <w:t>3.3.3.4. Обоснование сохранения слоя регулярных выражений: сопоставление с обучаемыми альтернативами</w:t>
      </w:r>
    </w:p>
    <w:p>
      <w:r>
        <w:t>Использование детерминированных правил в качестве Слой 1 — нетривиальный выбор, требующий ручной разработки для каждой категории. Для его количественной фиксации каскад с regex сопоставлен с восемью альтернативами, где Слой 1 заменён обучаемой моделью (</w:t>
      </w:r>
      <w:r>
        <w:rPr>
          <w:rFonts w:ascii="Consolas" w:hAnsi="Consolas"/>
          <w:sz w:val="18"/>
          <w:shd w:fill="F5F5F5" w:val="clear"/>
        </w:rPr>
        <w:t>src/experiments/layer1_5_*.py</w:t>
      </w:r>
      <w:r>
        <w:t xml:space="preserve">, </w:t>
      </w:r>
      <w:r>
        <w:rPr>
          <w:rFonts w:ascii="Consolas" w:hAnsi="Consolas"/>
          <w:sz w:val="18"/>
          <w:shd w:fill="F5F5F5" w:val="clear"/>
        </w:rPr>
        <w:t>src/experiments/lexicon_regex.py</w:t>
      </w:r>
      <w:r>
        <w:t xml:space="preserve">; артефакты — </w:t>
      </w:r>
      <w:r>
        <w:rPr>
          <w:rFonts w:ascii="Consolas" w:hAnsi="Consolas"/>
          <w:sz w:val="18"/>
          <w:shd w:fill="F5F5F5" w:val="clear"/>
        </w:rPr>
        <w:t>layer1_5_optimal.parquet</w:t>
      </w:r>
      <w:r>
        <w:t xml:space="preserve">, </w:t>
      </w:r>
      <w:r>
        <w:rPr>
          <w:rFonts w:ascii="Consolas" w:hAnsi="Consolas"/>
          <w:sz w:val="18"/>
          <w:shd w:fill="F5F5F5" w:val="clear"/>
        </w:rPr>
        <w:t>lexicon_regex_comparison.parquet</w:t>
      </w:r>
      <w:r>
        <w:t>). Все варианты оценены на едином 80/20-разбиении (seed = 42) по 22 парам.</w:t>
      </w:r>
    </w:p>
    <w:p>
      <w:pPr>
        <w:jc w:val="left"/>
        <w:ind w:firstLine="0"/>
      </w:pPr>
      <w:r>
        <w:t>Таблица 3.3.3.4. Сопоставление каскадных конфигураций с разным первым слоем.</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rPr>
          <w:tblHeader/>
        </w:trP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Вариант</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Состав первого слоя (перед основным ML-слоем)</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Средняя точность</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Δ к «без первого слоя»</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Регулярные выражения (текущая конфигурация)</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83,58 %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+1,38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Без первого слоя (один ML-слой)</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82,20 %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Наивный байесовский классификатор на n-граммах</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82,16 %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−0,04</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D</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Решающее дерево</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82,98 %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+0,78</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Центроидный классификатор в пространстве n-грамм</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82,22 %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+0,02</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F</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Логистическая регрессия на n-граммах</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82,23 %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+0,03</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L</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Обучаемый словарь n-грамм (lexicon)</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83,00 %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+0,80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G</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Поатрибутный выбор лучшего метода по перекрёстной проверке</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81,99 %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−0,21</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Регулярные выражения — решающее дерево — ML (последовательно)</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83,78 %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+1,58</w:t>
            </w:r>
          </w:p>
        </w:tc>
      </w:tr>
    </w:tbl>
    <w:p/>
    <w:p>
      <w:r>
        <w:t xml:space="preserve">Источник — </w:t>
      </w:r>
      <w:r>
        <w:rPr>
          <w:rFonts w:ascii="Consolas" w:hAnsi="Consolas"/>
          <w:sz w:val="18"/>
          <w:shd w:fill="F5F5F5" w:val="clear"/>
        </w:rPr>
        <w:t>docs/layer1_5_optimal_recommendation.md</w:t>
      </w:r>
      <w:r>
        <w:t>. Из таблицы следуют три вывода.</w:t>
      </w:r>
    </w:p>
    <w:p>
      <w:r>
        <w:t>Во-первых, чистый ML без Слой 1 (B, 82,20 %) уступает текущей конфигурации (A, 83,58 %) на 1,38 п. п. — regex даёт небольшой, но устойчивый прирост.</w:t>
      </w:r>
    </w:p>
    <w:p>
      <w:r>
        <w:t>Во-вторых, ни одна обучаемая альтернатива (C, D, E, F, L) не превосходит regex в роли единственного Слой 1. Регулярные правила формализуют доменное знание (формы пасты, типы зерна, числовые шаблоны какао), не восстанавливаемое из распределения слов: лексические маркеры редки, но однозначны.</w:t>
      </w:r>
    </w:p>
    <w:p>
      <w:r>
        <w:t>В-третьих, единственная статистически превосходящая regex конфигурация — композиция «regex — дерево — ML» (H, +0,20 п. п.). Прирост незначителен и не оправдывает усложнения и поддержки 22 деревьев.</w:t>
      </w:r>
    </w:p>
    <w:p>
      <w:r>
        <w:t>Таким образом, выбор regex как Слой 1 эмпирически обоснован: наибольший прирост среди простых альтернатив при детерминированном выводе и отсутствии переобучения. Предпочтительное развитие — точечное расширение правил по итогам 3.3.7.4.</w:t>
      </w:r>
    </w:p>
    <w:p>
      <w:pPr>
        <w:pStyle w:val="Heading2"/>
      </w:pPr>
      <w:r>
        <w:rPr>
          <w:rFonts w:ascii="Times New Roman" w:hAnsi="Times New Roman"/>
          <w:color w:val="000000"/>
        </w:rPr>
        <w:t>3.3.4. Поведение Bayes-валидатора</w:t>
      </w:r>
    </w:p>
    <w:p>
      <w:pPr>
        <w:pStyle w:val="Heading3"/>
      </w:pPr>
      <w:r>
        <w:rPr>
          <w:rFonts w:ascii="Times New Roman" w:hAnsi="Times New Roman"/>
          <w:color w:val="000000"/>
        </w:rPr>
        <w:t>Постановка задачи и калибровка порога</w:t>
      </w:r>
    </w:p>
    <w:p>
      <w:r>
        <w:t xml:space="preserve">Слой 3 — байесовская сеть над дискретизированными атрибутами и брендом. Структура сети обучается алгоритмом Hill Climb с критерием BIC; пример полученного направленного ациклического графа для категории chocolate приведён на рисунке 3.5. Эмпирически роль классификатора неэффективна (точность ≈52 %, ниже мажорной точки отсчёта), поэтому сеть применяется как валидатор плотности: для предсказания Слой 2 вычисляется </w:t>
      </w:r>
      <w:r>
        <w:drawing>
          <wp:inline xmlns:a="http://schemas.openxmlformats.org/drawingml/2006/main" xmlns:pic="http://schemas.openxmlformats.org/drawingml/2006/picture">
            <wp:extent cx="910697" cy="113380"/>
            <wp:docPr id="68" name="Picture 68"/>
            <wp:cNvGraphicFramePr>
              <a:graphicFrameLocks noChangeAspect="1"/>
            </wp:cNvGraphicFramePr>
            <a:graphic>
              <a:graphicData uri="http://schemas.openxmlformats.org/drawingml/2006/picture">
                <pic:pic>
                  <pic:nvPicPr>
                    <pic:cNvPr id="0" name="ad89d2ab665b425f.png"/>
                    <pic:cNvPicPr/>
                  </pic:nvPicPr>
                  <pic:blipFill>
                    <a:blip r:embed="rId69"/>
                    <a:stretch>
                      <a:fillRect/>
                    </a:stretch>
                  </pic:blipFill>
                  <pic:spPr>
                    <a:xfrm>
                      <a:off x="0" y="0"/>
                      <a:ext cx="910697" cy="113380"/>
                    </a:xfrm>
                    <a:prstGeom prst="rect"/>
                  </pic:spPr>
                </pic:pic>
              </a:graphicData>
            </a:graphic>
          </wp:inline>
        </w:drawing>
      </w:r>
      <w:r>
        <w:t xml:space="preserve"> при свидетельствах «бренд + остальные атрибуты». Ниже порога — ячейка помечается и передаётся в Слой 4. Порог индивидуален для каждой пары и фиксируется на этапе обучения как 5-перцентиль распределения </w:t>
      </w:r>
      <w:r>
        <w:drawing>
          <wp:inline xmlns:a="http://schemas.openxmlformats.org/drawingml/2006/main" xmlns:pic="http://schemas.openxmlformats.org/drawingml/2006/picture">
            <wp:extent cx="80463" cy="76805"/>
            <wp:docPr id="69" name="Picture 69"/>
            <wp:cNvGraphicFramePr>
              <a:graphicFrameLocks noChangeAspect="1"/>
            </wp:cNvGraphicFramePr>
            <a:graphic>
              <a:graphicData uri="http://schemas.openxmlformats.org/drawingml/2006/picture">
                <pic:pic>
                  <pic:nvPicPr>
                    <pic:cNvPr id="0" name="4da1ae41f19152e9.png"/>
                    <pic:cNvPicPr/>
                  </pic:nvPicPr>
                  <pic:blipFill>
                    <a:blip r:embed="rId70"/>
                    <a:stretch>
                      <a:fillRect/>
                    </a:stretch>
                  </pic:blipFill>
                  <pic:spPr>
                    <a:xfrm>
                      <a:off x="0" y="0"/>
                      <a:ext cx="80463" cy="76805"/>
                    </a:xfrm>
                    <a:prstGeom prst="rect"/>
                  </pic:spPr>
                </pic:pic>
              </a:graphicData>
            </a:graphic>
          </wp:inline>
        </w:drawing>
      </w:r>
      <w:r>
        <w:t xml:space="preserve"> на обучающей выборке.</w:t>
      </w:r>
    </w:p>
    <w:p>
      <w:pPr>
        <w:jc w:val="left"/>
      </w:pPr>
      <w:r>
        <w:drawing>
          <wp:inline xmlns:a="http://schemas.openxmlformats.org/drawingml/2006/main" xmlns:pic="http://schemas.openxmlformats.org/drawingml/2006/picture">
            <wp:extent cx="5733288" cy="7067922"/>
            <wp:docPr id="70" name="Picture 70"/>
            <wp:cNvGraphicFramePr>
              <a:graphicFrameLocks noChangeAspect="1"/>
            </wp:cNvGraphicFramePr>
            <a:graphic>
              <a:graphicData uri="http://schemas.openxmlformats.org/drawingml/2006/picture">
                <pic:pic>
                  <pic:nvPicPr>
                    <pic:cNvPr id="0" name="fig_3_5_bayes_dag.png"/>
                    <pic:cNvPicPr/>
                  </pic:nvPicPr>
                  <pic:blipFill>
                    <a:blip r:embed="rId71"/>
                    <a:stretch>
                      <a:fillRect/>
                    </a:stretch>
                  </pic:blipFill>
                  <pic:spPr>
                    <a:xfrm>
                      <a:off x="0" y="0"/>
                      <a:ext cx="5733288" cy="7067922"/>
                    </a:xfrm>
                    <a:prstGeom prst="rect"/>
                  </pic:spPr>
                </pic:pic>
              </a:graphicData>
            </a:graphic>
          </wp:inline>
        </w:drawing>
      </w:r>
    </w:p>
    <w:p>
      <w:pPr>
        <w:jc w:val="left"/>
        <w:ind w:firstLine="0"/>
      </w:pPr>
      <w:r>
        <w:t>Рисунок 3.5 — Структура байесовской сети категории chocolate (направленный ациклический граф, обученный алгоритмом Hill Climb с критерием BIC)</w:t>
      </w:r>
    </w:p>
    <w:p>
      <w:r>
        <w:t>Агрегированные результаты по трём категориям приведены в таблице 3.3.4.1 (</w:t>
      </w:r>
      <w:r>
        <w:rPr>
          <w:rFonts w:ascii="Consolas" w:hAnsi="Consolas"/>
          <w:sz w:val="18"/>
          <w:shd w:fill="F5F5F5" w:val="clear"/>
        </w:rPr>
        <w:t>bayes_validator_demote_metric.parquet</w:t>
      </w:r>
      <w:r>
        <w:t>).</w:t>
      </w:r>
    </w:p>
    <w:p>
      <w:pPr>
        <w:jc w:val="left"/>
        <w:ind w:firstLine="0"/>
      </w:pPr>
      <w:r>
        <w:t>Таблица 3.3.4.1. Поведение Bayes-валидатора на категориях pasta, chocolate, cheeses.</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rPr>
          <w:tblHeader/>
        </w:trPr>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n_ml</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Доля помеченных</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каскада</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отбраковки</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Базовая точка отсчёта</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Прирост</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Полнота</w:t>
            </w:r>
          </w:p>
        </w:tc>
      </w:tr>
      <w:tr>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pasta</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1010</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7,9 %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98,6 %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2,5 %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+1,1 п. п.</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14,3 %</w:t>
            </w:r>
          </w:p>
        </w:tc>
      </w:tr>
      <w:tr>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chocolate</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772</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14,1 %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94,7 %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20,2 %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5,3 %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+14,9 п. п.</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53,7 %</w:t>
            </w:r>
          </w:p>
        </w:tc>
      </w:tr>
      <w:tr>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cheeses</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1436</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6,1 %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96,3 %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1,1 %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3,7 %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−2,5 п. п.</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1,9 %</w:t>
            </w:r>
          </w:p>
        </w:tc>
      </w:tr>
    </w:tbl>
    <w:p/>
    <w:p>
      <w:r>
        <w:t>Калибровка работает на pasta и cheeses (7,9 % и 6,1 % помеченных при целевом 5 %). На chocolate доля 14,1 %, почти втрое выше: отклонение объясняется смещением маржинального распределения contains_nuts на тестовых брендах относительно серебряной выборки калибровки (согласуется с 3.3.7).</w:t>
      </w:r>
    </w:p>
    <w:p>
      <w:pPr>
        <w:pStyle w:val="Heading3"/>
      </w:pPr>
      <w:r>
        <w:rPr>
          <w:rFonts w:ascii="Times New Roman" w:hAnsi="Times New Roman"/>
          <w:color w:val="000000"/>
        </w:rPr>
        <w:t>Метрика отбраковки и селективность сигнала</w:t>
      </w:r>
    </w:p>
    <w:p>
      <w:r>
        <w:t xml:space="preserve">Точность отбраковки (precision demote) — </w:t>
      </w:r>
      <w:r>
        <w:drawing>
          <wp:inline xmlns:a="http://schemas.openxmlformats.org/drawingml/2006/main" xmlns:pic="http://schemas.openxmlformats.org/drawingml/2006/picture">
            <wp:extent cx="724169" cy="113380"/>
            <wp:docPr id="71" name="Picture 71"/>
            <wp:cNvGraphicFramePr>
              <a:graphicFrameLocks noChangeAspect="1"/>
            </wp:cNvGraphicFramePr>
            <a:graphic>
              <a:graphicData uri="http://schemas.openxmlformats.org/drawingml/2006/picture">
                <pic:pic>
                  <pic:nvPicPr>
                    <pic:cNvPr id="0" name="e27e97ca3262461e.png"/>
                    <pic:cNvPicPr/>
                  </pic:nvPicPr>
                  <pic:blipFill>
                    <a:blip r:embed="rId72"/>
                    <a:stretch>
                      <a:fillRect/>
                    </a:stretch>
                  </pic:blipFill>
                  <pic:spPr>
                    <a:xfrm>
                      <a:off x="0" y="0"/>
                      <a:ext cx="724169" cy="113380"/>
                    </a:xfrm>
                    <a:prstGeom prst="rect"/>
                  </pic:spPr>
                </pic:pic>
              </a:graphicData>
            </a:graphic>
          </wp:inline>
        </w:drawing>
      </w:r>
      <w:r>
        <w:t xml:space="preserve"> среди помеченных. Базовая точка отсчёта — частота ошибок каскада на всех ячейках пары. Прирост (lift) — разность; положительный прирост означает, что валидатор обогащает отправляемую в LLM выборку реальными ошибками. Полнота — </w:t>
      </w:r>
      <w:r>
        <w:drawing>
          <wp:inline xmlns:a="http://schemas.openxmlformats.org/drawingml/2006/main" xmlns:pic="http://schemas.openxmlformats.org/drawingml/2006/picture">
            <wp:extent cx="731484" cy="113380"/>
            <wp:docPr id="72" name="Picture 72"/>
            <wp:cNvGraphicFramePr>
              <a:graphicFrameLocks noChangeAspect="1"/>
            </wp:cNvGraphicFramePr>
            <a:graphic>
              <a:graphicData uri="http://schemas.openxmlformats.org/drawingml/2006/picture">
                <pic:pic>
                  <pic:nvPicPr>
                    <pic:cNvPr id="0" name="9fd9c79fbd035492.png"/>
                    <pic:cNvPicPr/>
                  </pic:nvPicPr>
                  <pic:blipFill>
                    <a:blip r:embed="rId73"/>
                    <a:stretch>
                      <a:fillRect/>
                    </a:stretch>
                  </pic:blipFill>
                  <pic:spPr>
                    <a:xfrm>
                      <a:off x="0" y="0"/>
                      <a:ext cx="731484" cy="113380"/>
                    </a:xfrm>
                    <a:prstGeom prst="rect"/>
                  </pic:spPr>
                </pic:pic>
              </a:graphicData>
            </a:graphic>
          </wp:inline>
        </w:drawing>
      </w:r>
      <w:r>
        <w:t>.</w:t>
      </w:r>
    </w:p>
    <w:p>
      <w:r>
        <w:t>Из 22 пар лишь три демонстрируют точность отбраковки выше базовой:</w:t>
      </w:r>
    </w:p>
    <w:p>
      <w:pPr>
        <w:pStyle w:val="ListBullet"/>
        <w:spacing w:before="20" w:after="20"/>
      </w:pPr>
      <w:r>
        <w:t>chocolate / contains_nuts: точность отбраковки 53,7 % при базовой точке отсчёта 15,5 %, прирост +38,2 п. п., полнота отбраковки 59,5 %;</w:t>
      </w:r>
    </w:p>
    <w:p>
      <w:pPr>
        <w:pStyle w:val="ListBullet"/>
        <w:spacing w:before="20" w:after="20"/>
      </w:pPr>
      <w:r>
        <w:t>pasta / is_vegan: точность отбраковки 20,0 % при базовой точке отсчёта 6,0 %, прирост +14,0 п. п. (n_flagged = 10);</w:t>
      </w:r>
    </w:p>
    <w:p>
      <w:pPr>
        <w:pStyle w:val="ListBullet"/>
        <w:spacing w:before="20" w:after="20"/>
      </w:pPr>
      <w:r>
        <w:t>cheeses / is_pdo: точность отбраковки 10,0 % при базовой точке отсчёта 3,0 %, прирост +7,0 п. п. (n_flagged = 10).</w:t>
      </w:r>
    </w:p>
    <w:p>
      <w:r>
        <w:t>Для оставшихся 19 пар точность отбраковки базовую точку отсчёта не превышает. Эффект валидатора локализован: он не является универсальным фильтром, равномерно повышающим качество всех помеченных ячеек.</w:t>
      </w:r>
    </w:p>
    <w:p>
      <w:pPr>
        <w:pStyle w:val="Heading3"/>
      </w:pPr>
      <w:r>
        <w:rPr>
          <w:rFonts w:ascii="Times New Roman" w:hAnsi="Times New Roman"/>
          <w:color w:val="000000"/>
        </w:rPr>
        <w:t>Бизнес-эффект и архитектурный вывод</w:t>
      </w:r>
    </w:p>
    <w:p>
      <w:r>
        <w:t>При сплошном понижении (все помеченные ячейки в LLM) средняя точность каскада снижается на 0,4 п. п. при росте расходов на LLM на 8,6 п. п. — чистый эффект отрицателен: ложные срабатывания на 19 пар размывают сигнал трёх работающих. При точечном понижении на паре chocolate/contains_nuts точность категории chocolate растёт на 6,6 п. п. при росте расходов на 5,3 п. п. Этот режим включён в финальную конфигурацию.</w:t>
      </w:r>
    </w:p>
    <w:p>
      <w:r>
        <w:t>Перевод сети из роли классификатора в роль валидатора плотностей иллюстрирует общий принцип: невостребованный в одной роли компонент может с пользой вернуться в систему через изменение роли. Совмещение точечного валидатора с архитектурными решениями 3.3.7.4 даёт chocolate/contains_nuts 91,2 % сквозной точности (</w:t>
      </w:r>
      <w:r>
        <w:rPr>
          <w:rFonts w:ascii="Consolas" w:hAnsi="Consolas"/>
          <w:sz w:val="18"/>
          <w:shd w:fill="F5F5F5" w:val="clear"/>
        </w:rPr>
        <w:t>headline_v3e_after_fix.parquet</w:t>
      </w:r>
      <w:r>
        <w:t>).</w:t>
      </w:r>
    </w:p>
    <w:p>
      <w:pPr>
        <w:pStyle w:val="Heading2"/>
      </w:pPr>
      <w:r>
        <w:rPr>
          <w:rFonts w:ascii="Times New Roman" w:hAnsi="Times New Roman"/>
          <w:color w:val="000000"/>
        </w:rPr>
        <w:t>3.3.5. Стоимостно-чувствительный маршрутизатор: отрицательный результат</w:t>
      </w:r>
    </w:p>
    <w:p>
      <w:pPr>
        <w:pStyle w:val="Heading3"/>
      </w:pPr>
      <w:r>
        <w:rPr>
          <w:rFonts w:ascii="Times New Roman" w:hAnsi="Times New Roman"/>
          <w:color w:val="000000"/>
        </w:rPr>
        <w:t>Идея, гипотеза H1 и процедура оценки</w:t>
      </w:r>
    </w:p>
    <w:p>
      <w:r>
        <w:t xml:space="preserve">Финальный механизм направления ячеек в LLM — статическое per-(категория, атрибут) правило. На этапе проектирования рассматривалась обучаемая альтернатива: XGBoost-маршрутизатор предсказывает надёжность ответа каскада на каждой ячейке; при вероятности ниже τ ячейка идёт в LLM. </w:t>
      </w:r>
      <w:r>
        <w:rPr>
          <w:b/>
        </w:rPr>
        <w:t>Гипотеза H1:</w:t>
      </w:r>
      <w:r>
        <w:t xml:space="preserve"> при равном бюджете LLM обучаемый маршрутизатор обеспечивает более высокую точность, чем статическое правило. H0: разница незначима.</w:t>
      </w:r>
    </w:p>
    <w:p>
      <w:r>
        <w:t xml:space="preserve">Оценка проведена по предзарегистрированной процедуре. До доступа к числам зафиксированы: три бюджета LLM (25 %, 40 %, 50 %); поправка Бонферрони на три теста (α/3 ≈ 0,0167 при α = 0,05); тестовая выборка без пересечения брендов (n = 1539); опорная конфигурация — статическое правило. Все параметры зафиксированы в </w:t>
      </w:r>
      <w:r>
        <w:rPr>
          <w:rFonts w:ascii="Consolas" w:hAnsi="Consolas"/>
          <w:sz w:val="18"/>
          <w:shd w:fill="F5F5F5" w:val="clear"/>
        </w:rPr>
        <w:t>src/eval/router_pre_registered.py</w:t>
      </w:r>
      <w:r>
        <w:t xml:space="preserve"> (константы </w:t>
      </w:r>
      <w:r>
        <w:rPr>
          <w:rFonts w:ascii="Consolas" w:hAnsi="Consolas"/>
          <w:sz w:val="18"/>
          <w:shd w:fill="F5F5F5" w:val="clear"/>
        </w:rPr>
        <w:t>PRE_REGISTERED_BUDGETS</w:t>
      </w:r>
      <w:r>
        <w:t>, BONFERRONI_N, функция evaluate_h1). Коммит модуля (</w:t>
      </w:r>
      <w:r>
        <w:rPr>
          <w:rFonts w:ascii="Consolas" w:hAnsi="Consolas"/>
          <w:sz w:val="18"/>
          <w:shd w:fill="F5F5F5" w:val="clear"/>
        </w:rPr>
        <w:t>cd9ac7a</w:t>
      </w:r>
      <w:r>
        <w:t xml:space="preserve">, 2026-05-13 02:11) сделан за 1 ч 11 мин до создания артефакта </w:t>
      </w:r>
      <w:r>
        <w:rPr>
          <w:rFonts w:ascii="Consolas" w:hAnsi="Consolas"/>
          <w:sz w:val="18"/>
          <w:shd w:fill="F5F5F5" w:val="clear"/>
        </w:rPr>
        <w:t>router_pareto_gold.parquet</w:t>
      </w:r>
      <w:r>
        <w:t xml:space="preserve"> (03:22 того же дня), что фиксирует временной приоритет процедуры над данными.</w:t>
      </w:r>
    </w:p>
    <w:p>
      <w:pPr>
        <w:pStyle w:val="Heading3"/>
      </w:pPr>
      <w:r>
        <w:rPr>
          <w:rFonts w:ascii="Times New Roman" w:hAnsi="Times New Roman"/>
          <w:color w:val="000000"/>
        </w:rPr>
        <w:t>Результаты</w:t>
      </w:r>
    </w:p>
    <w:p>
      <w:r>
        <w:t>Сравнительные числа на выборке без пересечения брендов представлены в таблице 3.3.5.1 (</w:t>
      </w:r>
      <w:r>
        <w:rPr>
          <w:rFonts w:ascii="Consolas" w:hAnsi="Consolas"/>
          <w:sz w:val="18"/>
          <w:shd w:fill="F5F5F5" w:val="clear"/>
        </w:rPr>
        <w:t>router_pareto_gold.parquet</w:t>
      </w:r>
      <w:r>
        <w:t xml:space="preserve">; для пяти моделей запасного слоя — </w:t>
      </w:r>
      <w:r>
        <w:rPr>
          <w:rFonts w:ascii="Consolas" w:hAnsi="Consolas"/>
          <w:sz w:val="18"/>
          <w:shd w:fill="F5F5F5" w:val="clear"/>
        </w:rPr>
        <w:t>router_pareto_gold_{model}.parquet</w:t>
      </w:r>
      <w:r>
        <w:t>).</w:t>
      </w:r>
    </w:p>
    <w:p>
      <w:pPr>
        <w:jc w:val="left"/>
        <w:ind w:firstLine="0"/>
      </w:pPr>
      <w:r>
        <w:t>Таблица 3.3.5.1. Сравнение конфигураций маршрутизации на проверочной выборке без пересечения брендов.</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rPr>
          <w:tblHeader/>
        </w:trP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Конфигурация</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Доля вызовов LLM</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Тип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Только каскад (без LLM)</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78,5 %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опорная конфигурация</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Статический порог τ = 0,55</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11 %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статический</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Обучаемый маршрутизатор (оптимум)</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обучаемый</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Статическое поатрибутное правило</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статический</w:t>
            </w:r>
          </w:p>
        </w:tc>
      </w:tr>
    </w:tbl>
    <w:p/>
    <w:p>
      <w:r>
        <w:t>Приведены точки минимальной стоимости при сопоставимой точности. Проверка H1 — сравнение точностей при равных бюджетах 25 %, 40 %, 50 %. При сопоставимой точности обучаемый маршрутизатор требует более высокого бюджета LLM: 16 % против 11 % при разнице точностей 0,1 п. п. в пределах доверительного интервала (n = 1 539).</w:t>
      </w:r>
    </w:p>
    <w:p>
      <w:r>
        <w:t>Ни на одном из трёх бюджетов маршрутизатор не превзошёл опорную конфигурацию на уровне α/3 после поправки Бонферрони. Гипотеза H1 отклонена.</w:t>
      </w:r>
    </w:p>
    <w:p>
      <w:pPr>
        <w:pStyle w:val="Heading3"/>
      </w:pPr>
      <w:r>
        <w:rPr>
          <w:rFonts w:ascii="Times New Roman" w:hAnsi="Times New Roman"/>
          <w:color w:val="000000"/>
        </w:rPr>
        <w:t>Интерпретация и следствие для финальной конфигурации</w:t>
      </w:r>
    </w:p>
    <w:p>
      <w:r>
        <w:t xml:space="preserve">Отклонение H1 воспроизводится на всех пяти моделях Слой 4 и объясняется тремя наблюдениями. Во-первых, основная вариация надёжности каскада сосредоточена на уровне атрибутов, а не товаров; статическое per-(категория, атрибут) правило учитывает именно эту неоднородность, маршрутизатор уровня ячейки дополнительной информации не привносит. Во-вторых, выборка без пересечения брендов устраняет утечку бренда, объяснявшую ранние положительные результаты на случайных разбиениях. В-третьих, результат согласуется с RouterBench </w:t>
      </w:r>
      <w:r>
        <w:t>[</w:t>
      </w:r>
      <w:r>
        <w:t>12]: обучаемый маршрутизатор не доминирует над простыми правилами при локализованной структуре ошибок.</w:t>
      </w:r>
    </w:p>
    <w:p>
      <w:r>
        <w:t>В финальной конфигурации применяется статическое правило: оно прозрачно, поддаётся аудиту и не требует переобучения. Отклонение H1 — один из трёх пунктов научной новизны работы (см. введение).</w:t>
      </w:r>
    </w:p>
    <w:p>
      <w:pPr>
        <w:pStyle w:val="Heading2"/>
      </w:pPr>
      <w:r>
        <w:rPr>
          <w:rFonts w:ascii="Times New Roman" w:hAnsi="Times New Roman"/>
          <w:color w:val="000000"/>
        </w:rPr>
        <w:t>3.3.6. Цикл «аудит — правки экстрактора — переобучение — измерение»</w:t>
      </w:r>
    </w:p>
    <w:p>
      <w:r>
        <w:t>Замкнутый цикл итеративного улучшения каскада построен на сопоставлении собственных предсказаний с независимо проаудированной разметкой. Измерение по неизменному списку аудированных ячеек исключает селекционный сдвиг.</w:t>
      </w:r>
    </w:p>
    <w:p>
      <w:pPr>
        <w:pStyle w:val="Heading3"/>
      </w:pPr>
      <w:r>
        <w:rPr>
          <w:rFonts w:ascii="Times New Roman" w:hAnsi="Times New Roman"/>
          <w:color w:val="000000"/>
        </w:rPr>
        <w:t>3.3.6.1. Аудит pasta</w:t>
      </w:r>
    </w:p>
    <w:p>
      <w:r>
        <w:t xml:space="preserve">Для pasta сформирован эталонный набор из 239 продуктов; LLM-аудитор </w:t>
      </w:r>
      <w:r>
        <w:rPr>
          <w:rFonts w:ascii="Consolas" w:hAnsi="Consolas"/>
          <w:sz w:val="18"/>
          <w:shd w:fill="F5F5F5" w:val="clear"/>
        </w:rPr>
        <w:t>anthropic/claude-opus-4</w:t>
      </w:r>
      <w:r>
        <w:t xml:space="preserve"> слепо вынес суждения по каждой ячейке. Артефакт </w:t>
      </w:r>
      <w:r>
        <w:rPr>
          <w:rFonts w:ascii="Consolas" w:hAnsi="Consolas"/>
          <w:sz w:val="18"/>
          <w:shd w:fill="F5F5F5" w:val="clear"/>
        </w:rPr>
        <w:t>cascade_vs_audited_gold_pasta.json</w:t>
      </w:r>
      <w:r>
        <w:t xml:space="preserve"> — 1841 ячейка по 8 атрибутам; доля override + manual_only — 220/1841 (11,95 %).</w:t>
      </w:r>
    </w:p>
    <w:p>
      <w:r>
        <w:t xml:space="preserve">Главное обнаружение — концентрация ошибок на одном атрибуте: 24,2 % значений pasta_shape ошибочны. Корень — функция </w:t>
      </w:r>
      <w:r>
        <w:rPr>
          <w:rFonts w:ascii="Consolas" w:hAnsi="Consolas"/>
          <w:sz w:val="18"/>
          <w:shd w:fill="F5F5F5" w:val="clear"/>
        </w:rPr>
        <w:t>_type_b_multiclass</w:t>
      </w:r>
      <w:r>
        <w:t xml:space="preserve"> обходила categories_tags в порядке следования, а не приоритета специфичности: для итальянской, испанской и немецкой пасты обобщённый </w:t>
      </w:r>
      <w:r>
        <w:rPr>
          <w:rFonts w:ascii="Consolas" w:hAnsi="Consolas"/>
          <w:sz w:val="18"/>
          <w:shd w:fill="F5F5F5" w:val="clear"/>
        </w:rPr>
        <w:t>en:noodles</w:t>
      </w:r>
      <w:r>
        <w:t xml:space="preserve"> опережал специфические </w:t>
      </w:r>
      <w:r>
        <w:rPr>
          <w:rFonts w:ascii="Consolas" w:hAnsi="Consolas"/>
          <w:sz w:val="18"/>
          <w:shd w:fill="F5F5F5" w:val="clear"/>
        </w:rPr>
        <w:t>en:tagliatelle</w:t>
      </w:r>
      <w:r>
        <w:t xml:space="preserve">, </w:t>
      </w:r>
      <w:r>
        <w:rPr>
          <w:rFonts w:ascii="Consolas" w:hAnsi="Consolas"/>
          <w:sz w:val="18"/>
          <w:shd w:fill="F5F5F5" w:val="clear"/>
        </w:rPr>
        <w:t>en:penne</w:t>
      </w:r>
      <w:r>
        <w:t xml:space="preserve">, </w:t>
      </w:r>
      <w:r>
        <w:rPr>
          <w:rFonts w:ascii="Consolas" w:hAnsi="Consolas"/>
          <w:sz w:val="18"/>
          <w:shd w:fill="F5F5F5" w:val="clear"/>
        </w:rPr>
        <w:t>en:fusilli</w:t>
      </w:r>
      <w:r>
        <w:t>. Дополнительно: TYPE_B не содержала legume-pasta и filled-pasta, regex не знал многоязычные синонимы форм.</w:t>
      </w:r>
    </w:p>
    <w:p>
      <w:pPr>
        <w:pStyle w:val="Heading3"/>
      </w:pPr>
      <w:r>
        <w:rPr>
          <w:rFonts w:ascii="Times New Roman" w:hAnsi="Times New Roman"/>
          <w:color w:val="000000"/>
        </w:rPr>
        <w:t>3.3.6.2. Правки экстрактора</w:t>
      </w:r>
    </w:p>
    <w:p>
      <w:r>
        <w:t xml:space="preserve">Внесены точечные правки (коммиты </w:t>
      </w:r>
      <w:r>
        <w:rPr>
          <w:rFonts w:ascii="Consolas" w:hAnsi="Consolas"/>
          <w:sz w:val="18"/>
          <w:shd w:fill="F5F5F5" w:val="clear"/>
        </w:rPr>
        <w:t>c1a0815</w:t>
      </w:r>
      <w:r>
        <w:t xml:space="preserve">, </w:t>
      </w:r>
      <w:r>
        <w:rPr>
          <w:rFonts w:ascii="Consolas" w:hAnsi="Consolas"/>
          <w:sz w:val="18"/>
          <w:shd w:fill="F5F5F5" w:val="clear"/>
        </w:rPr>
        <w:t>4bbd9e2</w:t>
      </w:r>
      <w:r>
        <w:t xml:space="preserve">): </w:t>
      </w:r>
      <w:r>
        <w:rPr>
          <w:rFonts w:ascii="Consolas" w:hAnsi="Consolas"/>
          <w:sz w:val="18"/>
          <w:shd w:fill="F5F5F5" w:val="clear"/>
        </w:rPr>
        <w:t>_type_b_multiclass</w:t>
      </w:r>
      <w:r>
        <w:t xml:space="preserve"> обходит отображение по убыванию приоритета (</w:t>
      </w:r>
      <w:r>
        <w:rPr>
          <w:rFonts w:ascii="Consolas" w:hAnsi="Consolas"/>
          <w:sz w:val="18"/>
          <w:shd w:fill="F5F5F5" w:val="clear"/>
        </w:rPr>
        <w:t>en:noodles</w:t>
      </w:r>
      <w:r>
        <w:t xml:space="preserve"> — последним); TYPE_B и regex пополнены legume-pasta/filled-pasta и многоязычными синонимами. Каждый случай покрыт модульным тестом (28 тестов). Прочих изменений архитектуры и гиперпараметров не делалось.</w:t>
      </w:r>
    </w:p>
    <w:p>
      <w:pPr>
        <w:pStyle w:val="Heading3"/>
      </w:pPr>
      <w:r>
        <w:rPr>
          <w:rFonts w:ascii="Times New Roman" w:hAnsi="Times New Roman"/>
          <w:color w:val="000000"/>
        </w:rPr>
        <w:t>3.3.6.3. Прирост точности эталонной разметки</w:t>
      </w:r>
    </w:p>
    <w:p>
      <w:r>
        <w:t>После правок серебро перестроено; на тех же 1841 ячейке старые и новые значения сопоставлены с эталоном аудита.</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trP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Атрибут</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Серебро до</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Серебро после</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Δ</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pasta_shape</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228</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27,6 %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59,6 %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+32,0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grain_type</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233</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55,4 %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59,2 %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+3,9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6 нетронутых атрибутов</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Всего</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1841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80,7 %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85,2 %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+4,5 п. п.</w:t>
            </w:r>
          </w:p>
        </w:tc>
      </w:tr>
    </w:tbl>
    <w:p/>
    <w:p>
      <w:r>
        <w:t>Прирост сосредоточен на атрибуте-мишени правок (pasta_shape), что подтверждает каузальную связь. Прочие атрибуты не сдвинуты, как и ожидается при точечной правке.</w:t>
      </w:r>
    </w:p>
    <w:p>
      <w:pPr>
        <w:pStyle w:val="Heading3"/>
      </w:pPr>
      <w:r>
        <w:rPr>
          <w:rFonts w:ascii="Times New Roman" w:hAnsi="Times New Roman"/>
          <w:color w:val="000000"/>
        </w:rPr>
        <w:t>3.3.6.4. Переобучение моделей и прирост каскада</w:t>
      </w:r>
    </w:p>
    <w:p>
      <w:r>
        <w:t xml:space="preserve">Слой 2 переобучен на обновлённом серебре с пересохранением калибровок и порогов; каскад прогнан на тех же 239 эталонных продуктах. Сравнение — </w:t>
      </w:r>
      <w:r>
        <w:rPr>
          <w:rFonts w:ascii="Consolas" w:hAnsi="Consolas"/>
          <w:sz w:val="18"/>
          <w:shd w:fill="F5F5F5" w:val="clear"/>
        </w:rPr>
        <w:t>cascade_vs_audited_gold_pasta.pre-retrain.json</w:t>
      </w:r>
      <w:r>
        <w:t xml:space="preserve"> против </w:t>
      </w:r>
      <w:r>
        <w:rPr>
          <w:rFonts w:ascii="Consolas" w:hAnsi="Consolas"/>
          <w:sz w:val="18"/>
          <w:shd w:fill="F5F5F5" w:val="clear"/>
        </w:rPr>
        <w:t>cascade_vs_audited_gold_pasta.json</w:t>
      </w:r>
      <w:r>
        <w:t>.</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trP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Срез</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До переобучения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После переобучения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Δ</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all_audited</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1841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81,9 %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86,4 %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+4,5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override ∪ manual_only</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220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39,5 %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57,7 %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+18,2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confirmed</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1621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87,6 %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90,3 %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+2,7 п. п.</w:t>
            </w:r>
          </w:p>
        </w:tc>
      </w:tr>
    </w:tbl>
    <w:p/>
    <w:p>
      <w:r>
        <w:t xml:space="preserve">Эффект локализован: на pasta_shape точность на подмножестве </w:t>
      </w:r>
      <w:r>
        <w:rPr>
          <w:rFonts w:ascii="Consolas" w:hAnsi="Consolas"/>
          <w:sz w:val="18"/>
          <w:shd w:fill="F5F5F5" w:val="clear"/>
        </w:rPr>
        <w:t>override ∪ manual_only</w:t>
      </w:r>
      <w:r>
        <w:t xml:space="preserve"> (83 ячейки) выросла с 22,9 % до 72,3 % (+49,4 п. п.). Точечная правка даёт концентрированный сдвиг: +18,2 п. п. на сложном срезе против +2,7 на confirmed.</w:t>
      </w:r>
    </w:p>
    <w:p>
      <w:pPr>
        <w:pStyle w:val="Heading3"/>
      </w:pPr>
      <w:r>
        <w:rPr>
          <w:rFonts w:ascii="Times New Roman" w:hAnsi="Times New Roman"/>
          <w:color w:val="000000"/>
        </w:rPr>
        <w:t>3.3.6.5. Кросс-доменная репликация цикла 3/3</w:t>
      </w:r>
    </w:p>
    <w:p>
      <w:r>
        <w:t>Тот же цикл применён к chocolate и cheeses (</w:t>
      </w:r>
      <w:r>
        <w:rPr>
          <w:rFonts w:ascii="Consolas" w:hAnsi="Consolas"/>
          <w:sz w:val="18"/>
          <w:shd w:fill="F5F5F5" w:val="clear"/>
        </w:rPr>
        <w:t>cross_domain_audit_summary.json</w:t>
      </w:r>
      <w:r>
        <w:t>).</w:t>
      </w:r>
    </w:p>
    <w:p>
      <w:r>
        <w:t xml:space="preserve">В chocolate (1530 ячеек) аудит выявил дефект бинаризации cocoa_percentage — расхождение конвенции серебра и индустриальной интерпретации метки «70 %». После перехода на конвенцию </w:t>
      </w:r>
      <w:r>
        <w:rPr>
          <w:rFonts w:ascii="Consolas" w:hAnsi="Consolas"/>
          <w:sz w:val="18"/>
          <w:shd w:fill="F5F5F5" w:val="clear"/>
        </w:rPr>
        <w:t>[X, Y)</w:t>
      </w:r>
      <w:r>
        <w:t xml:space="preserve"> точность на </w:t>
      </w:r>
      <w:r>
        <w:rPr>
          <w:rFonts w:ascii="Consolas" w:hAnsi="Consolas"/>
          <w:sz w:val="18"/>
          <w:shd w:fill="F5F5F5" w:val="clear"/>
        </w:rPr>
        <w:t>override ∪ manual_only</w:t>
      </w:r>
      <w:r>
        <w:t xml:space="preserve"> cocoa_percentage поднялась с 10,8 % до 31,5 %; агрегированный прирост по домену +16,3 п. п.</w:t>
      </w:r>
    </w:p>
    <w:p>
      <w:r>
        <w:t xml:space="preserve">В cheeses (1655 ячеек) аудит обнаружил систематически завышенные пороги fat_class (86 сдвигов вверх против 16 обратных). После установки порогов (15, 20, 28) г/100 г точность на </w:t>
      </w:r>
      <w:r>
        <w:rPr>
          <w:rFonts w:ascii="Consolas" w:hAnsi="Consolas"/>
          <w:sz w:val="18"/>
          <w:shd w:fill="F5F5F5" w:val="clear"/>
        </w:rPr>
        <w:t>override ∪ manual_only</w:t>
      </w:r>
      <w:r>
        <w:t xml:space="preserve"> fat_class выросла с 2,7 % до 69,9 %; агрегированный прирост по домену +14,4 п. п.</w:t>
      </w:r>
    </w:p>
    <w:p>
      <w:r>
        <w:t>Цикл воспроизведён 3/3 на независимых доменах с разными типами дефектов (порядок обхода тегов, сдвиг границ бакетирования, выбор порогов численного атрибута). Это позволяет считать последовательность «обнаружение — правка — регенерация серебра — переобучение — измерение» переносимым приёмом, а не разовым улучшением.</w:t>
      </w:r>
    </w:p>
    <w:p>
      <w:pPr>
        <w:pStyle w:val="Heading2"/>
      </w:pPr>
      <w:r>
        <w:rPr>
          <w:rFonts w:ascii="Times New Roman" w:hAnsi="Times New Roman"/>
          <w:color w:val="000000"/>
        </w:rPr>
        <w:t>3.3.7. Дополнительные проверки устойчивости</w:t>
      </w:r>
    </w:p>
    <w:p>
      <w:r>
        <w:t>Дополнительно проведены проверки, исключающие характерные угрозы валидности: смещение по языку, тривиальность задачи относительно лексического базиса, близость тестовой семантики к обучающей.</w:t>
      </w:r>
    </w:p>
    <w:p>
      <w:pPr>
        <w:pStyle w:val="Heading3"/>
      </w:pPr>
      <w:r>
        <w:rPr>
          <w:rFonts w:ascii="Times New Roman" w:hAnsi="Times New Roman"/>
          <w:color w:val="000000"/>
        </w:rPr>
        <w:t>3.3.7.1. Устойчивость каскада по языкам</w:t>
      </w:r>
    </w:p>
    <w:p>
      <w:r>
        <w:t>OFF имеет языковой перекос (≈40 % FR, 10 % EN, 7 % DE и т. п.). Под балансировку каскад не оптимизировался. Поатрибутно-поязыковой срез (</w:t>
      </w:r>
      <w:r>
        <w:rPr>
          <w:rFonts w:ascii="Consolas" w:hAnsi="Consolas"/>
          <w:sz w:val="18"/>
          <w:shd w:fill="F5F5F5" w:val="clear"/>
        </w:rPr>
        <w:t>per_language_eval.parquet</w:t>
      </w:r>
      <w:r>
        <w:t>, 132 записи на 4350 ячейках) даёт взвешенную точность:</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rPr>
          <w:tblHeader/>
        </w:trP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Язык</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Ячеек</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каскада</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en</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445</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88,1 %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прочие</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1014</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88,0 %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it</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1123</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87,4 %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fr</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856</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86,8 %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de</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433</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86,1 %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es</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479</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85,2 %</w:t>
            </w:r>
          </w:p>
        </w:tc>
      </w:tr>
    </w:tbl>
    <w:p/>
    <w:p>
      <w:r>
        <w:t xml:space="preserve">Разброс между лучшим (en, 88,1 %) и худшим (es, 85,2 %) — 2,9 п. п. Это говорит о приемлемой языковой устойчивости и согласуется с выбором </w:t>
      </w:r>
      <w:r>
        <w:rPr>
          <w:rFonts w:ascii="Consolas" w:hAnsi="Consolas"/>
          <w:sz w:val="18"/>
          <w:shd w:fill="F5F5F5" w:val="clear"/>
        </w:rPr>
        <w:t>paraphrase-multilingual-MiniLM-L12-v2</w:t>
      </w:r>
      <w:r>
        <w:t>. Усреднение скрывает локальные провалы: пять кортежей (категория, атрибут, язык) с отставанием от лучшего &gt; 28 п. п.: cheeses/texture/es (17,6 % против 65,0 %), pasta/pasta_shape/de (52,4 % против 87,0 %), cheeses/is_ultra_processed/es, cheeses/fat_class/es, cheeses/texture/de. Концентрация на испанском сегменте cheeses связана со структурной особенностью данных (см. 5.5).</w:t>
      </w:r>
    </w:p>
    <w:p>
      <w:pPr>
        <w:pStyle w:val="Heading3"/>
      </w:pPr>
      <w:r>
        <w:rPr>
          <w:rFonts w:ascii="Times New Roman" w:hAnsi="Times New Roman"/>
          <w:color w:val="000000"/>
        </w:rPr>
        <w:t>3.3.7.2. Сравнение с тривиальным лексическим базисом</w:t>
      </w:r>
    </w:p>
    <w:p>
      <w:r>
        <w:t>Лексический базис (</w:t>
      </w:r>
      <w:r>
        <w:rPr>
          <w:rFonts w:ascii="Consolas" w:hAnsi="Consolas"/>
          <w:sz w:val="18"/>
          <w:shd w:fill="F5F5F5" w:val="clear"/>
        </w:rPr>
        <w:t>TfidfVectorizer(max_features=5000, ngram_range=(1, 2))</w:t>
      </w:r>
      <w:r>
        <w:t xml:space="preserve"> + </w:t>
      </w:r>
      <w:r>
        <w:rPr>
          <w:rFonts w:ascii="Consolas" w:hAnsi="Consolas"/>
          <w:sz w:val="18"/>
          <w:shd w:fill="F5F5F5" w:val="clear"/>
        </w:rPr>
        <w:t>LogisticRegression</w:t>
      </w:r>
      <w:r>
        <w:t>) обучен на серебре за вычетом тестовых кодов и оценён на тех же 239 кодах на категорию (</w:t>
      </w:r>
      <w:r>
        <w:rPr>
          <w:rFonts w:ascii="Consolas" w:hAnsi="Consolas"/>
          <w:sz w:val="18"/>
          <w:shd w:fill="F5F5F5" w:val="clear"/>
        </w:rPr>
        <w:t>off_leakage_probe.parquet</w:t>
      </w:r>
      <w:r>
        <w:t>). На нутриент-производных атрибутах каскад превышает базис на 25–30 п. п. (pasta/nutri_score_grade, chocolate/cocoa_percentage, pasta/protein_class) — зона нетривиальной ML-ценности. На текстово-производных каскад на 22 из 22 пар сопоставим с базисом или превышает его на brand-disjoint срезе (</w:t>
      </w:r>
      <w:r>
        <w:rPr>
          <w:rFonts w:ascii="Consolas" w:hAnsi="Consolas"/>
          <w:sz w:val="18"/>
          <w:shd w:fill="F5F5F5" w:val="clear"/>
        </w:rPr>
        <w:t>headline_v3e_after_fix.parquet</w:t>
      </w:r>
      <w:r>
        <w:t>).</w:t>
      </w:r>
    </w:p>
    <w:p>
      <w:pPr>
        <w:pStyle w:val="Heading3"/>
      </w:pPr>
      <w:r>
        <w:rPr>
          <w:rFonts w:ascii="Times New Roman" w:hAnsi="Times New Roman"/>
          <w:color w:val="000000"/>
        </w:rPr>
        <w:t>3.3.7.4. Поатрибутные архитектурные решения</w:t>
      </w:r>
    </w:p>
    <w:p>
      <w:r>
        <w:t>В подразделе зафиксированы три типовых архитектурных решения, выявленных при диагностике (</w:t>
      </w:r>
      <w:r>
        <w:rPr>
          <w:rFonts w:ascii="Consolas" w:hAnsi="Consolas"/>
          <w:sz w:val="18"/>
          <w:shd w:fill="F5F5F5" w:val="clear"/>
        </w:rPr>
        <w:t>cascade_preds_*_after_fix.parquet</w:t>
      </w:r>
      <w:r>
        <w:t xml:space="preserve">, </w:t>
      </w:r>
      <w:r>
        <w:rPr>
          <w:rFonts w:ascii="Consolas" w:hAnsi="Consolas"/>
          <w:sz w:val="18"/>
          <w:shd w:fill="F5F5F5" w:val="clear"/>
        </w:rPr>
        <w:t>headline_v3e_after_fix.parquet</w:t>
      </w:r>
      <w:r>
        <w:t>) и заложенных в финальную конфигурацию.</w:t>
      </w:r>
    </w:p>
    <w:p>
      <w:r>
        <w:rPr>
          <w:b/>
        </w:rPr>
        <w:t>(а) Сужение Слой 1 chocolate_type до текста названия.</w:t>
      </w:r>
      <w:r>
        <w:t xml:space="preserve"> Triggers milk/lait/Milch/latte/leche массово встречаются в составе тёмного и filled-шоколада (молочный порошок, лецитин), вызывая ложное отнесение к классу «milk». Поэтому </w:t>
      </w:r>
      <w:r>
        <w:rPr>
          <w:rFonts w:ascii="Consolas" w:hAnsi="Consolas"/>
          <w:sz w:val="18"/>
          <w:shd w:fill="F5F5F5" w:val="clear"/>
        </w:rPr>
        <w:t>extract_chocolate_type</w:t>
      </w:r>
      <w:r>
        <w:t xml:space="preserve"> получает только </w:t>
      </w:r>
      <w:r>
        <w:rPr>
          <w:rFonts w:ascii="Consolas" w:hAnsi="Consolas"/>
          <w:sz w:val="18"/>
          <w:shd w:fill="F5F5F5" w:val="clear"/>
        </w:rPr>
        <w:t>product_name + brands + quantity</w:t>
      </w:r>
      <w:r>
        <w:t xml:space="preserve"> без ingredients_text и отказывается при одновременном матче нескольких типов в названии (например, «Tablette Lait Noir Praliné»). Точность regex на сработавших ячейках 94,4 % при покрытии 52,6 %; сквозная chocolate/chocolate_type 86,6 %.</w:t>
      </w:r>
    </w:p>
    <w:p>
      <w:r>
        <w:rPr>
          <w:b/>
        </w:rPr>
        <w:t>(б) Перенастройка порога Слой 2 на парах с высокой штатной долей отказа.</w:t>
      </w:r>
      <w:r>
        <w:t xml:space="preserve"> Для chocolate/chocolate_extra, cheeses/texture, cheeses/is_organic, cheeses/is_ultra_processed, pasta/grain_type стандартный порог </w:t>
      </w:r>
      <w:r>
        <w:rPr>
          <w:rFonts w:ascii="Consolas" w:hAnsi="Consolas"/>
          <w:sz w:val="18"/>
          <w:shd w:fill="F5F5F5" w:val="clear"/>
        </w:rPr>
        <w:t>find_best_threshold</w:t>
      </w:r>
      <w:r>
        <w:t xml:space="preserve"> отбрасывал 11–44 % ячеек при 95–99 % точности на покрытом срезе. Пороги индивидуально понижены до 0,40–0,65. Эффект особенно заметен на cheeses/texture (с 56 % покрытия при 0,6 до 99 % при 0,4, точность 94,9 %) и chocolate/chocolate_extra (с 67 % до 95 %). Пороги хранятся в </w:t>
      </w:r>
      <w:r>
        <w:rPr>
          <w:rFonts w:ascii="Consolas" w:hAnsi="Consolas"/>
          <w:sz w:val="18"/>
          <w:shd w:fill="F5F5F5" w:val="clear"/>
        </w:rPr>
        <w:t>models/{категория}_stratified_thresholds.pkl</w:t>
      </w:r>
      <w:r>
        <w:t>.</w:t>
      </w:r>
    </w:p>
    <w:p>
      <w:r>
        <w:rPr>
          <w:b/>
        </w:rPr>
        <w:t>(в) Гибридные признаки SBERT + TF-IDF для лексически богатых атрибутов.</w:t>
      </w:r>
      <w:r>
        <w:t xml:space="preserve"> Атрибуты chocolate/chocolate_type и chocolate/contains_nuts чувствительны к редким информативным n-граммам (noir, au lait, fourré, noisettes, pralinés). Эксперимент </w:t>
      </w:r>
      <w:r>
        <w:rPr>
          <w:rFonts w:ascii="Consolas" w:hAnsi="Consolas"/>
          <w:sz w:val="18"/>
          <w:shd w:fill="F5F5F5" w:val="clear"/>
        </w:rPr>
        <w:t>chocolate_hybrid_features.parquet</w:t>
      </w:r>
      <w:r>
        <w:t xml:space="preserve"> на brand-disjoint train-сплите даёт +1,9 / +3,8 п. п. при добавлении разреженных TF-IDF (1, 2) топ-5000 к SBERT-эмбеддингам на входе XGBoost. Включено через флаг </w:t>
      </w:r>
      <w:r>
        <w:rPr>
          <w:rFonts w:ascii="Consolas" w:hAnsi="Consolas"/>
          <w:sz w:val="18"/>
          <w:shd w:fill="F5F5F5" w:val="clear"/>
        </w:rPr>
        <w:t>--with-tfidf</w:t>
      </w:r>
      <w:r>
        <w:t xml:space="preserve"> в </w:t>
      </w:r>
      <w:r>
        <w:rPr>
          <w:rFonts w:ascii="Consolas" w:hAnsi="Consolas"/>
          <w:sz w:val="18"/>
          <w:shd w:fill="F5F5F5" w:val="clear"/>
        </w:rPr>
        <w:t>src/pipeline/ml/train.py</w:t>
      </w:r>
      <w:r>
        <w:t>.</w:t>
      </w:r>
    </w:p>
    <w:p>
      <w:pPr>
        <w:jc w:val="left"/>
        <w:ind w:firstLine="0"/>
      </w:pPr>
      <w:r>
        <w:t>Таблица 3.3.7.4 — Сквозная точность каскада на парах со специальной поатрибутной настройкой (consensus_gold v2, 239 brand-disjoint кодов на категорию).</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rPr>
          <w:tblHeader/>
        </w:trP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Пара (категория, атрибут)</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Probe</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Cascade</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Тип решения</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chocolate / chocolate_type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94,7 %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86,6 %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(а) сужение Слой 1 + (в) hybrid features</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chocolate / chocolate_extra</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76,6 %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0,9 — 0,65</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chocolate / contains_nuts</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91,2 %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(в) hybrid features + Слой 1 nut-markers</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cheeses / texture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70,5 %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93,7 %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0,60 — 0,40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cheeses / is_organic</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98,3 %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0,70 — 0,40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cheeses / is_ultra_processed</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86,1 %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87,5 %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0,70 — 0,50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pasta / grain_type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91,9 %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Слой 2 — 0,50</w:t>
            </w:r>
          </w:p>
        </w:tc>
      </w:tr>
    </w:tbl>
    <w:p/>
    <w:p>
      <w:r>
        <w:t>На парах с пониженным порогом Слой 2 LLM вызывается на ≤5 % ячеек, общая доля обращений к LLM по системе — 3,3 %.</w:t>
      </w:r>
    </w:p>
    <w:p>
      <w:pPr>
        <w:pStyle w:val="Heading3"/>
      </w:pPr>
      <w:r>
        <w:rPr>
          <w:rFonts w:ascii="Times New Roman" w:hAnsi="Times New Roman"/>
          <w:color w:val="000000"/>
        </w:rPr>
        <w:t>3.3.7.3. Семантическая несмежность тестовой и обучающей выборок (k-NN-абляция)</w:t>
      </w:r>
    </w:p>
    <w:p>
      <w:r>
        <w:t>Brand-disjoint разбиение не гарантирует, что тестовые бренды семантически далеки от обучающих. Для проверки для каждого тестового продукта вычислены k = 5 ближайших обучающих продуктов (косинусное расстояние SBERT); тестовые товары сгруппированы в четыре квартиля по медианному расстоянию (</w:t>
      </w:r>
      <w:r>
        <w:rPr>
          <w:rFonts w:ascii="Consolas" w:hAnsi="Consolas"/>
          <w:sz w:val="18"/>
          <w:shd w:fill="F5F5F5" w:val="clear"/>
        </w:rPr>
        <w:t>knn_distance_ablation.parquet</w:t>
      </w:r>
      <w:r>
        <w:t>).</w:t>
      </w:r>
    </w:p>
    <w:p>
      <w:pPr>
        <w:jc w:val="left"/>
        <w:ind w:firstLine="0"/>
      </w:pPr>
      <w:r>
        <w:t>Таблица 3.3.7.3. Сквозная точность каскада по квартилям медианного расстояния до k = 5 ближайших обучающих соседей (косинусное расстояние).</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trP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Квартиль</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Диапазон расстояния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Тестовых товаров</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Ячеек</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Сквозная точность каскада, %</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Q1 (ближе всего)</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0,05–0,18</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61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359</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82,7</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Q2</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0,18–0,22</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61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364</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89,3</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Q3</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0,22–0,26</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61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365</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90,7</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Q4 (дальше всего)</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0,26–0,57</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61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370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91,6</w:t>
            </w:r>
          </w:p>
        </w:tc>
      </w:tr>
    </w:tbl>
    <w:p/>
    <w:p>
      <w:r>
        <w:t>Точность не падает на удалённых товарах; напротив, монотонно растёт от Q1 (82,7 %) до Q4 (91,6 %). Это опровергает гипотезу о близости тестовой семантики как источнике точности. Тенденция сохраняется по категориям (pasta 92,0 → 94,2; chocolate 79,4 → 83,6; cheeses 76,3 → 84,3): в Q4 попадают семантически отчётливые товары с уникальными текстовыми признаками.</w:t>
      </w:r>
    </w:p>
    <w:p>
      <w:r>
        <w:t>Все три проверки подтверждают приемлемое поведение каскада по типичным угрозам валидности и фиксируют оставшиеся слабые места, направляющие план развития.</w:t>
      </w:r>
    </w:p>
    <w:p>
      <w:pPr>
        <w:pStyle w:val="Heading1"/>
      </w:pPr>
      <w:r>
        <w:rPr>
          <w:rFonts w:ascii="Times New Roman" w:hAnsi="Times New Roman"/>
          <w:color w:val="000000"/>
        </w:rPr>
        <w:t>Выводы по главе 3</w:t>
      </w:r>
    </w:p>
    <w:p>
      <w:r>
        <w:t>Основные результаты:</w:t>
      </w:r>
    </w:p>
    <w:p>
      <w:pPr>
        <w:pStyle w:val="BodyText"/>
        <w:spacing w:before="20" w:after="20"/>
      </w:pPr>
      <w:r>
        <w:t xml:space="preserve">1. Реализован пятислойный каскад (Слой 0 категорайзер, regex, ML XGBoost на SBERT, Bayes-валидатор, LLM-fallback) с указанием слоя-источника на каждое предсказание; вердикт формируется как последовательное AND-условие на пороги слоёв.</w:t>
      </w:r>
    </w:p>
    <w:p>
      <w:pPr>
        <w:pStyle w:val="BodyText"/>
        <w:spacing w:before="20" w:after="20"/>
      </w:pPr>
      <w:r>
        <w:t xml:space="preserve">2. Развёрнута трёхкомпонентная демонстрационная система (Go-шлюз, Python/FastAPI ML-сервис, статический HTML/JS) со стабильным контрактом API и подтверждённой работоспособностью на трёх категориях.</w:t>
      </w:r>
    </w:p>
    <w:p>
      <w:pPr>
        <w:pStyle w:val="BodyText"/>
        <w:spacing w:before="20" w:after="20"/>
      </w:pPr>
      <w:r>
        <w:t xml:space="preserve">3. Сквозная точность 92,8 % на 4350 ячейках без пересечения брендов в конфигурации «каскад + gemini-flash» — на 9,0 п. п. выше опорной all-sonnet (83,8 %) при стоимости в 720 раз ниже (доминирование по Парето). Каскад без LLM покрывает 96,7 % ячеек со средней точностью 90,5 %; на LLM приходится лишь 3,3 % сложных ячеек. В сценарии с открытой моделью каскад + gpt-oss-120b достигает 92,3 % — на 23,0 п. п. выше одиночного вызова той же модели. Полная таблица — в 3.3.2.</w:t>
      </w:r>
    </w:p>
    <w:p>
      <w:pPr>
        <w:pStyle w:val="BodyText"/>
        <w:spacing w:before="20" w:after="20"/>
      </w:pPr>
      <w:r>
        <w:t xml:space="preserve">4. Поатрибутный разбор: Слой 2 — основной (72–96 % покрытия, 94,9–98,6 % точности); Слой 1 покрывает 18–23 % на pasta/chocolate с точностью 87–90 %; Bayes-валидатор работает селективно (+38 п. п. на chocolate/contains_nuts); LLM добавляет +2,3 п. п. при 3,3 % обращений.</w:t>
      </w:r>
    </w:p>
    <w:p>
      <w:pPr>
        <w:pStyle w:val="BodyText"/>
        <w:spacing w:before="20" w:after="20"/>
      </w:pPr>
      <w:r>
        <w:t xml:space="preserve">5. Предзарегистрированная H1 об обучаемом маршрутизаторе отклонена на трёх бюджетах после поправки Бонферрони; результат согласуется с RouterBench </w:t>
      </w:r>
      <w:r>
        <w:t>[</w:t>
      </w:r>
      <w:r>
        <w:t>12].</w:t>
      </w:r>
    </w:p>
    <w:p>
      <w:pPr>
        <w:pStyle w:val="BodyText"/>
        <w:spacing w:before="20" w:after="20"/>
      </w:pPr>
      <w:r>
        <w:t xml:space="preserve">6. Цикл «аудит — правки — переобучение — измерение» воспроизведён 3/3: pasta +18,2 п. п., chocolate +16,3 п. п., cheeses +14,4 п. п. на проблемных срезах.</w:t>
      </w:r>
    </w:p>
    <w:p>
      <w:pPr>
        <w:pStyle w:val="BodyText"/>
        <w:spacing w:before="20" w:after="20"/>
      </w:pPr>
      <w:r>
        <w:t xml:space="preserve">7. Устойчивость по языкам (разброс 3 п. п. на 5 языках) и сравнение с лексическим базисом (22 из 22 пар сопоставимо или выше, +25–30 п. п. на нутриент-производных) подтверждены; поатрибутные решения 3.3.7.4 обеспечивают высокое покрытие ML-слоя при доле обращений к LLM 3,3 %.# 4 ОПИСАНИЕ РЕЗУЛЬТАТОВ</w:t>
      </w:r>
    </w:p>
    <w:p>
      <w:pPr>
        <w:pStyle w:val="Heading2"/>
      </w:pPr>
      <w:r>
        <w:rPr>
          <w:rFonts w:ascii="Times New Roman" w:hAnsi="Times New Roman"/>
          <w:color w:val="000000"/>
        </w:rPr>
        <w:t>4.1 Руководство пользователя</w:t>
      </w:r>
    </w:p>
    <w:p>
      <w:pPr>
        <w:pStyle w:val="Heading3"/>
      </w:pPr>
      <w:r>
        <w:rPr>
          <w:rFonts w:ascii="Times New Roman" w:hAnsi="Times New Roman"/>
          <w:color w:val="000000"/>
        </w:rPr>
        <w:t>4.1.1 Роли и интерфейсы</w:t>
      </w:r>
    </w:p>
    <w:p>
      <w:r>
        <w:t>Система рассчитана на три роли (анализ — 1.1). Каждая роль работает со своим интерфейсом и решает свой класс задач (таблица 4.1); распределение прав доступа ограничивает каждого пользователя точками управления его компетенции.</w:t>
      </w:r>
    </w:p>
    <w:p>
      <w:pPr>
        <w:jc w:val="left"/>
        <w:ind w:firstLine="0"/>
      </w:pPr>
      <w:r>
        <w:t>Таблица 4.1. Соответствие ролей пользователей и интерфейсов системы.</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rPr>
          <w:tblHeader/>
        </w:trP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Роль</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Интерфейс</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Класс задач</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Контент-менеджер</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Веб-интерфейс демо</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Выборочная проверка предсказаний, утверждение или отклонение значений атрибутов</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Системный аналитик</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Конфигурационные файлы порогов, REST API</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Настройка порогов уверенности, мониторинг состояния сервиса</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Инженер машинного обучения</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Скрипты обучения, ноутбук с диагностиками</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Переобучение классификаторов и байесовских сетей, прогон диагностик, обновление эталона</w:t>
            </w:r>
          </w:p>
        </w:tc>
      </w:tr>
    </w:tbl>
    <w:p/>
    <w:p>
      <w:pPr>
        <w:pStyle w:val="Heading3"/>
      </w:pPr>
      <w:r>
        <w:rPr>
          <w:rFonts w:ascii="Times New Roman" w:hAnsi="Times New Roman"/>
          <w:color w:val="000000"/>
        </w:rPr>
        <w:t>4.1.2 Контент-менеджер</w:t>
      </w:r>
    </w:p>
    <w:p>
      <w:r>
        <w:t xml:space="preserve">Контент-менеджер работает через веб-интерфейс по адресу </w:t>
      </w:r>
      <w:r>
        <w:rPr>
          <w:rFonts w:ascii="Consolas" w:hAnsi="Consolas"/>
          <w:sz w:val="18"/>
          <w:shd w:fill="F5F5F5" w:val="clear"/>
        </w:rPr>
        <w:t>http://127.0.0.1:8080</w:t>
      </w:r>
      <w:r>
        <w:t xml:space="preserve"> после запуска демонстрационного комплекса (рис. 3.1). Интерфейс состоит из формы ввода партнёр-доступных полей и блока результата с оценкой уверенности и отметкой слоя-источника на каждый атрибут.</w:t>
      </w:r>
    </w:p>
    <w:p>
      <w:r>
        <w:t>Отметка слоя-источника даёт основание для доверия к предсказанию: Слой 1 и Слой 4 детерминированы либо объяснимы, для Слой 2 и Слой 3 показателем служит уверенность. Приём введён (см. 1.3) для компенсации ограниченной интерпретируемости Слой 2/3 на уровне отдельного товара.</w:t>
      </w:r>
    </w:p>
    <w:p>
      <w:pPr>
        <w:pStyle w:val="Heading3"/>
      </w:pPr>
      <w:r>
        <w:rPr>
          <w:rFonts w:ascii="Times New Roman" w:hAnsi="Times New Roman"/>
          <w:color w:val="000000"/>
        </w:rPr>
        <w:t>4.1.3 Системный аналитик</w:t>
      </w:r>
    </w:p>
    <w:p>
      <w:r>
        <w:t xml:space="preserve">Аналитик настраивает каскад через две точки. Первая — словари порогов </w:t>
      </w:r>
      <w:r>
        <w:rPr>
          <w:rFonts w:ascii="Consolas" w:hAnsi="Consolas"/>
          <w:sz w:val="18"/>
          <w:shd w:fill="F5F5F5" w:val="clear"/>
        </w:rPr>
        <w:t>models/{category}_thresholds.pkl</w:t>
      </w:r>
      <w:r>
        <w:t xml:space="preserve">: контролируют компромисс «точность ↔ покрытие» поатрибутно, изменение не требует переобучения, применяется при следующем старте сервиса (типовой инструмент тонкой настройки при изменении требований к качеству). Вторая — REST API: </w:t>
      </w:r>
      <w:r>
        <w:rPr>
          <w:rFonts w:ascii="Consolas" w:hAnsi="Consolas"/>
          <w:sz w:val="18"/>
          <w:shd w:fill="F5F5F5" w:val="clear"/>
        </w:rPr>
        <w:t>GET /api/categories</w:t>
      </w:r>
      <w:r>
        <w:t xml:space="preserve"> (состав атрибутов), </w:t>
      </w:r>
      <w:r>
        <w:rPr>
          <w:rFonts w:ascii="Consolas" w:hAnsi="Consolas"/>
          <w:sz w:val="18"/>
          <w:shd w:fill="F5F5F5" w:val="clear"/>
        </w:rPr>
        <w:t>GET /health</w:t>
      </w:r>
      <w:r>
        <w:t xml:space="preserve"> (агрегированное состояние) для интеграции с мониторингом.</w:t>
      </w:r>
    </w:p>
    <w:p>
      <w:pPr>
        <w:pStyle w:val="Heading3"/>
      </w:pPr>
      <w:r>
        <w:rPr>
          <w:rFonts w:ascii="Times New Roman" w:hAnsi="Times New Roman"/>
          <w:color w:val="000000"/>
        </w:rPr>
        <w:t>4.1.4 Инженер машинного обучения</w:t>
      </w:r>
    </w:p>
    <w:p>
      <w:r>
        <w:t xml:space="preserve">Инженер работает с модулями </w:t>
      </w:r>
      <w:r>
        <w:rPr>
          <w:rFonts w:ascii="Consolas" w:hAnsi="Consolas"/>
          <w:sz w:val="18"/>
          <w:shd w:fill="F5F5F5" w:val="clear"/>
        </w:rPr>
        <w:t>src/</w:t>
      </w:r>
      <w:r>
        <w:t xml:space="preserve"> через </w:t>
      </w:r>
      <w:r>
        <w:rPr>
          <w:rFonts w:ascii="Consolas" w:hAnsi="Consolas"/>
          <w:sz w:val="18"/>
          <w:shd w:fill="F5F5F5" w:val="clear"/>
        </w:rPr>
        <w:t>python -m src.&lt;module&gt;</w:t>
      </w:r>
      <w:r>
        <w:t xml:space="preserve"> и ноутбуком </w:t>
      </w:r>
      <w:r>
        <w:rPr>
          <w:rFonts w:ascii="Consolas" w:hAnsi="Consolas"/>
          <w:sz w:val="18"/>
          <w:shd w:fill="F5F5F5" w:val="clear"/>
        </w:rPr>
        <w:t>notebooks/00_thesis_main.ipynb</w:t>
      </w:r>
      <w:r>
        <w:t xml:space="preserve">. Цикл переобучения устроен так, что выпуск новой версии моделей не требует перекомпиляции каскада: файлы в </w:t>
      </w:r>
      <w:r>
        <w:rPr>
          <w:rFonts w:ascii="Consolas" w:hAnsi="Consolas"/>
          <w:sz w:val="18"/>
          <w:shd w:fill="F5F5F5" w:val="clear"/>
        </w:rPr>
        <w:t>models/</w:t>
      </w:r>
      <w:r>
        <w:t xml:space="preserve"> переписываются, ML-сервис при старте загружает обновлённые артефакты. Последовательность команд цикла переобучения:</w:t>
      </w:r>
    </w:p>
    <w:p>
      <w:pPr>
        <w:spacing w:before="80" w:after="80"/>
        <w:ind w:left="360"/>
        <w:shd w:fill="F5F5F5" w:val="clear"/>
      </w:pPr>
      <w:r>
        <w:rPr>
          <w:rFonts w:ascii="Consolas" w:hAnsi="Consolas"/>
          <w:color w:val="1A1A1A"/>
          <w:sz w:val="18"/>
        </w:rPr>
        <w:t>source .venv/bin/activate</w:t>
      </w:r>
      <w:r>
        <w:br/>
      </w:r>
      <w:r>
        <w:rPr>
          <w:rFonts w:ascii="Consolas" w:hAnsi="Consolas"/>
          <w:color w:val="1A1A1A"/>
          <w:sz w:val="18"/>
        </w:rPr>
        <w:t>python -m src.data.label_silver --category pasta_stratified</w:t>
      </w:r>
      <w:r>
        <w:br/>
      </w:r>
      <w:r>
        <w:rPr>
          <w:rFonts w:ascii="Consolas" w:hAnsi="Consolas"/>
          <w:color w:val="1A1A1A"/>
          <w:sz w:val="18"/>
        </w:rPr>
        <w:t>OMP_NUM_THREADS=1 python -m src.pipeline.ml.train    --category pasta_stratified</w:t>
      </w:r>
      <w:r>
        <w:br/>
      </w:r>
      <w:r>
        <w:rPr>
          <w:rFonts w:ascii="Consolas" w:hAnsi="Consolas"/>
          <w:color w:val="1A1A1A"/>
          <w:sz w:val="18"/>
        </w:rPr>
        <w:t>OMP_NUM_THREADS=1 python -m src.pipeline.bayes.train --category pasta_stratified</w:t>
      </w:r>
      <w:r>
        <w:br/>
      </w:r>
      <w:r>
        <w:rPr>
          <w:rFonts w:ascii="Consolas" w:hAnsi="Consolas"/>
          <w:color w:val="1A1A1A"/>
          <w:sz w:val="18"/>
        </w:rPr>
        <w:t>OMP_NUM_THREADS=1 python -m src.eval.run_experiments  --category pasta_stratified</w:t>
      </w:r>
      <w:r>
        <w:br/>
      </w:r>
      <w:r>
        <w:rPr>
          <w:rFonts w:ascii="Consolas" w:hAnsi="Consolas"/>
          <w:color w:val="1A1A1A"/>
          <w:sz w:val="18"/>
        </w:rPr>
        <w:t>OMP_NUM_THREADS=1 python -m src.eval.run_diagnostics</w:t>
      </w:r>
    </w:p>
    <w:p>
      <w:r>
        <w:t>Цикл запускается еженедельно или ежемесячно (зависит от темпа поступления товаров) и занимает десятки минут на категорию без специализированных ресурсов.</w:t>
      </w:r>
    </w:p>
    <w:p>
      <w:pPr>
        <w:pStyle w:val="Heading2"/>
      </w:pPr>
      <w:r>
        <w:rPr>
          <w:rFonts w:ascii="Times New Roman" w:hAnsi="Times New Roman"/>
          <w:color w:val="000000"/>
        </w:rPr>
        <w:t>4.2 Сценарии применения и порядок внедрения</w:t>
      </w:r>
    </w:p>
    <w:p>
      <w:pPr>
        <w:pStyle w:val="Heading3"/>
      </w:pPr>
      <w:r>
        <w:rPr>
          <w:rFonts w:ascii="Times New Roman" w:hAnsi="Times New Roman"/>
          <w:color w:val="000000"/>
        </w:rPr>
        <w:t>4.2.1 Встраивание в бизнес-процесс магазина</w:t>
      </w:r>
    </w:p>
    <w:p>
      <w:r>
        <w:t>Каскад занимает место промежуточного сервиса в маршруте товара от поставщика до витрины — вторая позиция четырёхзвенной цепочки 1.1, где сосредоточено узкое место. Внедрение не требует перестройки соседних звеньев: ETL партнёрских фидов и PIM работают как раньше, изменяется лишь содержимое «процедуры обогащения». Цепочка обработки:</w:t>
      </w:r>
    </w:p>
    <w:p>
      <w:pPr>
        <w:spacing w:before="80" w:after="80"/>
        <w:ind w:left="360"/>
        <w:shd w:fill="F5F5F5" w:val="clear"/>
      </w:pPr>
      <w:r>
        <w:rPr>
          <w:rFonts w:ascii="Consolas" w:hAnsi="Consolas"/>
          <w:color w:val="1A1A1A"/>
          <w:sz w:val="18"/>
        </w:rPr>
        <w:t>Партнёрский фид (CSV/JSON/XML) → ETL магазина (нормализация полей)</w:t>
      </w:r>
      <w:r>
        <w:br/>
      </w:r>
      <w:r>
        <w:rPr>
          <w:rFonts w:ascii="Consolas" w:hAnsi="Consolas"/>
          <w:color w:val="1A1A1A"/>
          <w:sz w:val="18"/>
        </w:rPr>
        <w:t xml:space="preserve">  → HTTP /api/enrich — каскад (regex → ML → Bayes → LLM-fallback)</w:t>
      </w:r>
      <w:r>
        <w:br/>
      </w:r>
      <w:r>
        <w:rPr>
          <w:rFonts w:ascii="Consolas" w:hAnsi="Consolas"/>
          <w:color w:val="1A1A1A"/>
          <w:sz w:val="18"/>
        </w:rPr>
        <w:t xml:space="preserve">  → Контент-менеджер (выборочная проверка случаев Слой 4)</w:t>
      </w:r>
      <w:r>
        <w:br/>
      </w:r>
      <w:r>
        <w:rPr>
          <w:rFonts w:ascii="Consolas" w:hAnsi="Consolas"/>
          <w:color w:val="1A1A1A"/>
          <w:sz w:val="18"/>
        </w:rPr>
        <w:t xml:space="preserve">  → PIM (финальная карточка) → Витрина и поисковый индекс</w:t>
      </w:r>
    </w:p>
    <w:p>
      <w:r>
        <w:t>Основной экономический эффект — перенос ручного труда из режима «закрывать каждое поле» в режим «проверять остаток после каскада». По 3.3.2 каскад покрывает 96,7 % ячеек без LLM, оставшиеся 3,3 % уходят в запасной слой; сквозная точность 92,8 % в конфигурации «каскад + gemini-flash».</w:t>
      </w:r>
    </w:p>
    <w:p>
      <w:pPr>
        <w:pStyle w:val="Heading3"/>
      </w:pPr>
      <w:r>
        <w:rPr>
          <w:rFonts w:ascii="Times New Roman" w:hAnsi="Times New Roman"/>
          <w:color w:val="000000"/>
        </w:rPr>
        <w:t>4.2.2 Сценарий холодного старта новой категории</w:t>
      </w:r>
    </w:p>
    <w:p>
      <w:r>
        <w:t>Для новой категории каскад деградирует до двух слоёв (Слой 1 на общих шаблонах + Слой 4) — рабочий, но неоптимальный режим: точность Слой 4 на нутриент-производных атрибутах ниже, чем у обученного Слой 2 (4.3.3), стоимость выше. По мере накопления сотен размеченных товаров подключается Слой 2; при появлении устойчивых распределений по брендам — Слой 3.</w:t>
      </w:r>
    </w:p>
    <w:p>
      <w:r>
        <w:t xml:space="preserve">Электроника использована как контрольный домен холодного старта (эталон — поля технических характеристик PhoneDB </w:t>
      </w:r>
      <w:r>
        <w:t>[</w:t>
      </w:r>
      <w:r>
        <w:t>45] без слабого надзора). Полноценная аудит-оценка по протоколу 3.3 вынесена в 5.5.</w:t>
      </w:r>
    </w:p>
    <w:p>
      <w:pPr>
        <w:pStyle w:val="Heading3"/>
      </w:pPr>
      <w:r>
        <w:rPr>
          <w:rFonts w:ascii="Times New Roman" w:hAnsi="Times New Roman"/>
          <w:color w:val="000000"/>
        </w:rPr>
        <w:t>4.2.3 Сценарий многоязычного каталога</w:t>
      </w:r>
    </w:p>
    <w:p>
      <w:r>
        <w:rPr>
          <w:rFonts w:ascii="Consolas" w:hAnsi="Consolas"/>
          <w:sz w:val="18"/>
          <w:shd w:fill="F5F5F5" w:val="clear"/>
        </w:rPr>
        <w:t>paraphrase-multilingual-MiniLM-L12-v2</w:t>
      </w:r>
      <w:r>
        <w:t xml:space="preserve"> обеспечивает единое векторное пространство для пяти доминирующих в OFF европейских языков, что устраняет необходимость отдельных моделей под каждый язык. Устойчивость по языкам подтверждена в 3.3.7.1: разброс между лучшим и худшим сегментом — 2,9 п. п. Каскад применим в международных площадках без удвоения затрат на поддержку.</w:t>
      </w:r>
    </w:p>
    <w:p>
      <w:pPr>
        <w:pStyle w:val="Heading3"/>
      </w:pPr>
      <w:r>
        <w:rPr>
          <w:rFonts w:ascii="Times New Roman" w:hAnsi="Times New Roman"/>
          <w:color w:val="000000"/>
        </w:rPr>
        <w:t>4.2.4 Сценарий обогащения нутриентно-производных полей</w:t>
      </w:r>
    </w:p>
    <w:p>
      <w:r>
        <w:t>Атрибуты, восходящие к числовым нутриентам, требуют точного числового ответа. Одиночный вызов LLM малопригоден из-за высокой частоты ошибок на числах (1.2). В каскаде такие атрибуты закрываются комбинацией Слой 1 (числовые шаблоны) и Слой 2 (классификация дискретных классов после бакетирования нутриентов). USDA Branded Foods используется на этапе обучения для сверки эталона яруса 0 (3.2.5); расширение каскада детерминированным USDA-слоем в режиме вывода — в 5.5.</w:t>
      </w:r>
    </w:p>
    <w:p>
      <w:pPr>
        <w:pStyle w:val="Heading3"/>
      </w:pPr>
      <w:r>
        <w:rPr>
          <w:rFonts w:ascii="Times New Roman" w:hAnsi="Times New Roman"/>
          <w:color w:val="000000"/>
        </w:rPr>
        <w:t>4.2.5 Применимость в смежных доменах</w:t>
      </w:r>
    </w:p>
    <w:p>
      <w:r>
        <w:t>Архитектура не привязана к пищевому домену: правила Слой 1 переписываются для новой категории, обучение Слой 2/3 — стандартная процедура. Репликация на электронике (схема атрибутов, серебро из PhoneDB, демонстрация холодного старта; подробности в 5.5) подтверждает переносимость. Формальная аудит-оценка вынесена в перспективы развития.</w:t>
      </w:r>
    </w:p>
    <w:p>
      <w:pPr>
        <w:pStyle w:val="Heading2"/>
      </w:pPr>
      <w:r>
        <w:rPr>
          <w:rFonts w:ascii="Times New Roman" w:hAnsi="Times New Roman"/>
          <w:color w:val="000000"/>
        </w:rPr>
        <w:t>4.3 Что позволяет использование разработки (характеристика достигнутых результатов)</w:t>
      </w:r>
    </w:p>
    <w:p>
      <w:r>
        <w:t>Использование системы даёт пять измеримых эффектов в формате «повышено / ускорено / сокращено» со ссылками на 3.</w:t>
      </w:r>
    </w:p>
    <w:p>
      <w:pPr>
        <w:pStyle w:val="Heading3"/>
      </w:pPr>
      <w:r>
        <w:rPr>
          <w:rFonts w:ascii="Times New Roman" w:hAnsi="Times New Roman"/>
          <w:color w:val="000000"/>
        </w:rPr>
        <w:t>4.3.1 Повышено: качество автоматического обогащения каталога</w:t>
      </w:r>
    </w:p>
    <w:p>
      <w:r>
        <w:t xml:space="preserve">Сквозная точность на 4350 ячейках без пересечения брендов — 92,8 % в конфигурации «каскад + gemini-flash» (3.3.2; </w:t>
      </w:r>
      <w:r>
        <w:rPr>
          <w:rFonts w:ascii="Consolas" w:hAnsi="Consolas"/>
          <w:sz w:val="18"/>
          <w:shd w:fill="F5F5F5" w:val="clear"/>
        </w:rPr>
        <w:t>grand_acc_summary_after_fix.parquet</w:t>
      </w:r>
      <w:r>
        <w:t xml:space="preserve">). 95 %-й интервал Вильсона: </w:t>
      </w:r>
      <w:r>
        <w:t>[</w:t>
      </w:r>
      <w:r>
        <w:t xml:space="preserve">92,0; 93,6] для «каскад + gemini-flash» и </w:t>
      </w:r>
      <w:r>
        <w:t>[</w:t>
      </w:r>
      <w:r>
        <w:t xml:space="preserve">89,6; 91,4] для «только каскад» (90,5 %). Поатрибутный разрез по категориям приведён в таблице 4.2 (источник: </w:t>
      </w:r>
      <w:r>
        <w:rPr>
          <w:rFonts w:ascii="Consolas" w:hAnsi="Consolas"/>
          <w:sz w:val="18"/>
          <w:shd w:fill="F5F5F5" w:val="clear"/>
        </w:rPr>
        <w:t>headline_v3e_after_fix.parquet</w:t>
      </w:r>
      <w:r>
        <w:t>).</w:t>
      </w:r>
    </w:p>
    <w:p>
      <w:pPr>
        <w:jc w:val="left"/>
        <w:ind w:firstLine="0"/>
      </w:pPr>
      <w:r>
        <w:t>Таблица 4.2 — Сквозная точность каскада по категориям (модель gemini-flash, 4350 ячеек без пересечения брендов)</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rPr>
          <w:tblHeader/>
        </w:trP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Только каскад</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Каскад + gemini-flash</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Прирост</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Паста</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93,3 %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95,8 %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+2,5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Шоколад</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87,4 %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90,1 %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+2,7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Сыры</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+1,8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Взвешенное среднее</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+2,3 п. п.</w:t>
            </w:r>
          </w:p>
        </w:tc>
      </w:tr>
    </w:tbl>
    <w:p/>
    <w:p>
      <w:r>
        <w:t>Сыры и шоколад получают наибольший выигрыш от запасного слоя на оставшихся ≈3 % сложных ячеек. На пасте, где правила Слой 1 покрывают значительную долю, прирост от Слой 4 минимален.</w:t>
      </w:r>
    </w:p>
    <w:p>
      <w:r>
        <w:t>Сравнение с альтернативами: прямой Sonnet 4.5 даёт 83,8 % (на 9,0 п. п. ниже системы); прямой gpt-oss-120b — 69,3 % (на 23,0 п. п. ниже каскада с этой же моделью в роли Слой 4 — 92,3 %). Превосходство объясняется наличием специализированных слоёв: Слой 2 обучен на нутриент-производных атрибутах (Nutri-Score, класс белка, класс жирности), которые LLM не вычисляет точно из текста без доступа к числам.</w:t>
      </w:r>
    </w:p>
    <w:p>
      <w:pPr>
        <w:pStyle w:val="Heading3"/>
      </w:pPr>
      <w:r>
        <w:rPr>
          <w:rFonts w:ascii="Times New Roman" w:hAnsi="Times New Roman"/>
          <w:color w:val="000000"/>
        </w:rPr>
        <w:t>4.3.2 Сокращено: стоимость обработки в 720 раз относительно эталонной LLM-модели</w:t>
      </w:r>
    </w:p>
    <w:p>
      <w:r>
        <w:t xml:space="preserve">Стоимость обработки одного товара через каскад + gemini-flash составляет ≈0,14 % стоимости прямого Sonnet 4.5 (сокращение в 720 раз при превышении точности на 9,0 п. п.; матрица — 3.3.2). Экономия — за счёт обработки полей в порядке возрастания стоимости: Слой 1 (бесплатно) → Слой 2 (миллисекунды на CPU) → Слой 3 (локальный вывод) → Слой 4 только при отказе предыдущих. По 3.3 LLM вызывается на 3,3 % ячеек, а не на 100 %. Стоимость пяти каскадных конфигураций относительно опорной «все ячейки — Sonnet 4.5» приведена в таблице 4.3 (источник: </w:t>
      </w:r>
      <w:r>
        <w:rPr>
          <w:rFonts w:ascii="Consolas" w:hAnsi="Consolas"/>
          <w:sz w:val="18"/>
          <w:shd w:fill="F5F5F5" w:val="clear"/>
        </w:rPr>
        <w:t>grand_acc_summary_after_fix.parquet</w:t>
      </w:r>
      <w:r>
        <w:t>).</w:t>
      </w:r>
    </w:p>
    <w:p>
      <w:pPr>
        <w:jc w:val="left"/>
        <w:ind w:firstLine="0"/>
      </w:pPr>
      <w:r>
        <w:t>Таблица 4.3 — Стоимость обработки одного товара относительно опорной конфигурации all-sonnet</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rPr>
          <w:tblHeader/>
        </w:trP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Конфигурация</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Стоимость относительно опорной</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Снижение стоимости</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Каскад + gemini-flash</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0,0014</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 720 раз</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Каскад + gpt-4o</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0,024</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 42 раза</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Каскад + Claude Sonnet 4.5</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0,033</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 30 раз</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Каскад + gpt-oss-120b (открытая модель)</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0,0010</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 1007 раз</w:t>
            </w:r>
          </w:p>
        </w:tc>
      </w:tr>
    </w:tbl>
    <w:p/>
    <w:p>
      <w:r>
        <w:t>При сценарии 100 000 товаров/месяц экономия составляет порядки величины относительно прямого вызова LLM.</w:t>
      </w:r>
    </w:p>
    <w:p>
      <w:pPr>
        <w:pStyle w:val="Heading3"/>
      </w:pPr>
      <w:r>
        <w:rPr>
          <w:rFonts w:ascii="Times New Roman" w:hAnsi="Times New Roman"/>
          <w:color w:val="000000"/>
        </w:rPr>
        <w:t>4.3.3 Обеспечена: возможность развёртывания на собственных мощностях с открытой моделью</w:t>
      </w:r>
    </w:p>
    <w:p>
      <w:r>
        <w:t>Система поддерживает gpt-oss-120b в роли Слой 4 — полностью локальное развёртывание без отправки партнёрских данных вовне. Сводно (3.3.2): сквозная точность каскад + gpt-oss-120b — 92,3 %; прямой gpt-oss-120b — 69,3 %; прирост от каскадной архитектуры — +23,0 п. п. (Слой 2 закрывает атрибуты, на которых малая модель проигрывает); стоимость сценария ≈в 30 раз ниже прямого использования за счёт сокращения LLM-вызовов до 3,3 % ячеек. При потере 0,5 п. п. точности относительно gemini-flash обеспечивается независимость от внешних API — критично для корпоративных сценариев с требованиями локального хранения данных.</w:t>
      </w:r>
    </w:p>
    <w:p>
      <w:pPr>
        <w:pStyle w:val="Heading3"/>
      </w:pPr>
      <w:r>
        <w:rPr>
          <w:rFonts w:ascii="Times New Roman" w:hAnsi="Times New Roman"/>
          <w:color w:val="000000"/>
        </w:rPr>
        <w:t>4.3.4 Сокращён: ручной труд оператора каталога</w:t>
      </w:r>
    </w:p>
    <w:p>
      <w:r>
        <w:t>В исходном процессе (1.1) оператор проверяет каждый атрибут — 100 % ручной работы. Система переводит труд в режим выборочной верификации: 96,7 % ячеек закрываются дешёвыми слоями автоматически; 3,3 % уходят в Слой 4 и получают предсказание (часть требует верификации, обычно — помеченные Bayes-валидатором); совокупная доля ручной верификации — 3–7 % в зависимости от порога валидатора (3.3.4). Ручная нагрузка сокращается в 10–20 раз; контроль качества сохраняется через отметку слоя-источника и доверительные индикаторы.</w:t>
      </w:r>
    </w:p>
    <w:p>
      <w:pPr>
        <w:pStyle w:val="Heading3"/>
      </w:pPr>
      <w:r>
        <w:rPr>
          <w:rFonts w:ascii="Times New Roman" w:hAnsi="Times New Roman"/>
          <w:color w:val="000000"/>
        </w:rPr>
        <w:t>4.3.5 Повышена: устойчивость каталога к смещению по брендам</w:t>
      </w:r>
    </w:p>
    <w:p>
      <w:r>
        <w:t xml:space="preserve">Тестирование без пересечения брендов (3.2.4) подтверждает обобщение на бренды, не встречавшиеся в обучении: на 4350 ячейках средняя точность 92,8 % с интервалом Вильсона </w:t>
      </w:r>
      <w:r>
        <w:t>[</w:t>
      </w:r>
      <w:r>
        <w:t>92,0; 93,6]. Дополнительно k-NN-абляция (3.3.7.3) показывает: точность не падает на удалённых от обучения товарах, а монотонно растёт от Q1 (82,7 %) до Q4 (91,6 %).</w:t>
      </w:r>
    </w:p>
    <w:p>
      <w:pPr>
        <w:pStyle w:val="Heading3"/>
      </w:pPr>
      <w:r>
        <w:rPr>
          <w:rFonts w:ascii="Times New Roman" w:hAnsi="Times New Roman"/>
          <w:color w:val="000000"/>
        </w:rPr>
        <w:t>4.3.6 Резюмирующая таблица «повышено / ускорено / сокращено»</w:t>
      </w:r>
    </w:p>
    <w:p>
      <w:r>
        <w:t xml:space="preserve">Сводный эффект разработки на семи показателях приведён в таблице 4.4 (источники: </w:t>
      </w:r>
      <w:r>
        <w:rPr>
          <w:rFonts w:ascii="Consolas" w:hAnsi="Consolas"/>
          <w:sz w:val="18"/>
          <w:shd w:fill="F5F5F5" w:val="clear"/>
        </w:rPr>
        <w:t>grand_acc_summary_after_fix.parquet</w:t>
      </w:r>
      <w:r>
        <w:t xml:space="preserve">, </w:t>
      </w:r>
      <w:r>
        <w:rPr>
          <w:rFonts w:ascii="Consolas" w:hAnsi="Consolas"/>
          <w:sz w:val="18"/>
          <w:shd w:fill="F5F5F5" w:val="clear"/>
        </w:rPr>
        <w:t>headline_v3e_after_fix.parquet</w:t>
      </w:r>
      <w:r>
        <w:t>).</w:t>
      </w:r>
    </w:p>
    <w:p>
      <w:pPr>
        <w:jc w:val="left"/>
        <w:ind w:firstLine="0"/>
      </w:pPr>
      <w:r>
        <w:t>Таблица 4.4 — Сводный эффект разработки на ключевых показателях системы (повышено / сокращено / обеспечено)</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rPr>
          <w:tblHeader/>
        </w:trP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Показатель</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До разработки</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После</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Эффект</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Сквозная точность системы</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83,8 % (опорная конфигурация all-sonnet)</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92,8 % (каскад + gemini-flash)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повышена на 9,0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Относительная стоимость обработки</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1,000 (опорная конфигурация all-sonnet)</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0,0014 (каскад + gemini-flash)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сокращена в 720 раз</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Доля обращений к LLM</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100 %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3,3 %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сокращена в 30 раз</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Ручная верификация оператором</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~100 % ячеек</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~5–10 % ячеек</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сокращена в 10–20 раз</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Точность на открытой модели</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69,3 % (одиночный вызов gpt-oss-120b)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92,3 % (каскад + gpt-oss-120b)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повышена на 23,0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Поддержка многоязычности</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отдельные модели на каждый язык либо предварительный перевод</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 рабочих языков в едином векторном пространстве SBERT</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обеспечена без дополнительных моделей</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Независимость от поставщика LLM</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один интегрированный провайдер</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поддержка пяти моделей с сопоставимой точностью</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обеспечена взаимозаменяемость</w:t>
            </w:r>
          </w:p>
        </w:tc>
      </w:tr>
    </w:tbl>
    <w:p/>
    <w:p>
      <w:r>
        <w:t xml:space="preserve">Значения столбцов «До» и «После» получены на brand-disjoint тестовой выборке главы 3 и подтверждены артефактами </w:t>
      </w:r>
      <w:r>
        <w:rPr>
          <w:rFonts w:ascii="Consolas" w:hAnsi="Consolas"/>
          <w:sz w:val="18"/>
          <w:shd w:fill="F5F5F5" w:val="clear"/>
        </w:rPr>
        <w:t>grand_acc_summary_after_fix.parquet</w:t>
      </w:r>
      <w:r>
        <w:t xml:space="preserve"> и </w:t>
      </w:r>
      <w:r>
        <w:rPr>
          <w:rFonts w:ascii="Consolas" w:hAnsi="Consolas"/>
          <w:sz w:val="18"/>
          <w:shd w:fill="F5F5F5" w:val="clear"/>
        </w:rPr>
        <w:t>headline_v3e_after_fix.parquet</w:t>
      </w:r>
      <w:r>
        <w:t>.</w:t>
      </w:r>
    </w:p>
    <w:p>
      <w:pPr>
        <w:pStyle w:val="Heading2"/>
      </w:pPr>
      <w:r>
        <w:rPr>
          <w:rFonts w:ascii="Times New Roman" w:hAnsi="Times New Roman"/>
          <w:color w:val="000000"/>
        </w:rPr>
        <w:t>Выводы по главе 4</w:t>
      </w:r>
    </w:p>
    <w:p>
      <w:pPr>
        <w:pStyle w:val="BodyText"/>
        <w:spacing w:before="20" w:after="20"/>
      </w:pPr>
      <w:r>
        <w:t xml:space="preserve">1. Система допускает три сценария по выбору Слой 4: бюджетный коммерческий (gemini-flash) — наилучший баланс точности и стоимости; премиум-коммерческий (Sonnet 4.5, GPT-4o) — близкая точность при большей стоимости; локальное развёртывание с gpt-oss-120b — независимость от внешних API при потере 0,5 п. п. точности.</w:t>
      </w:r>
    </w:p>
    <w:p>
      <w:pPr>
        <w:pStyle w:val="BodyText"/>
        <w:spacing w:before="20" w:after="20"/>
      </w:pPr>
      <w:r>
        <w:t xml:space="preserve">2. Целевая аудитория — три роли: контент-менеджер (выборочная верификация через веб-интерфейс), системный аналитик (пороги через конфигурации и REST API), инженер ML (переобучение по мере поступления данных).</w:t>
      </w:r>
    </w:p>
    <w:p>
      <w:pPr>
        <w:pStyle w:val="BodyText"/>
        <w:spacing w:before="20" w:after="20"/>
      </w:pPr>
      <w:r>
        <w:t xml:space="preserve">3. Совокупный эффект: сокращение стоимости в 720 раз относительно прямого вызова LLM и ручной нагрузки в 10–20 раз при точности 92,8 % на brand-disjoint выборке с интервалом Вильсона </w:t>
      </w:r>
      <w:r>
        <w:t>[</w:t>
      </w:r>
      <w:r>
        <w:t>92,0; 93,6].</w:t>
      </w:r>
    </w:p>
    <w:p>
      <w:pPr>
        <w:pStyle w:val="Heading1"/>
      </w:pPr>
      <w:r>
        <w:rPr>
          <w:rFonts w:ascii="Times New Roman" w:hAnsi="Times New Roman"/>
          <w:color w:val="000000"/>
        </w:rPr>
        <w:t>Заключение</w:t>
      </w:r>
    </w:p>
    <w:p>
      <w:r>
        <w:t>В ходе работы разработана гибридная каскадная система автоматизированного обогащения товарных данных для интернет-магазина. Система реализована в виде программного комплекса с демонстрационным стендом, проверена на brand-disjoint выборке и удовлетворяет шести функциональным, пяти нефункциональным и четырём архитектурным требованиям ТЗ.</w:t>
      </w:r>
    </w:p>
    <w:p>
      <w:r>
        <w:t>Достигнутые показатели превосходят целевые ориентиры ТЗ (≥ 85 % точности, ≥ 2,5× сокращения стоимости): сквозная точность 92,8 %, стоимость сокращена в 720 раз относительно прямого вызова коммерческой LLM. Каскад без запасного слоя покрывает 96,7 % ячеек со средней точностью 90,5 %; в LLM направляется лишь 3,3 % сложных ячеек.</w:t>
      </w:r>
    </w:p>
    <w:p>
      <w:pPr>
        <w:pStyle w:val="Heading2"/>
      </w:pPr>
      <w:r>
        <w:rPr>
          <w:rFonts w:ascii="Times New Roman" w:hAnsi="Times New Roman"/>
          <w:color w:val="000000"/>
        </w:rPr>
        <w:t>5.1 Сводные выводы по главам</w:t>
      </w:r>
    </w:p>
    <w:p>
      <w:r>
        <w:rPr>
          <w:b/>
        </w:rPr>
        <w:t>Глава 1</w:t>
      </w:r>
      <w:r>
        <w:t xml:space="preserve"> систематизирует литературу и обосновывает противоречие. PIM-системы (Akeneo </w:t>
      </w:r>
      <w:r>
        <w:t>[</w:t>
      </w:r>
      <w:r>
        <w:t xml:space="preserve">5], Pimcore </w:t>
      </w:r>
      <w:r>
        <w:t>[</w:t>
      </w:r>
      <w:r>
        <w:t xml:space="preserve">6], Salsify </w:t>
      </w:r>
      <w:r>
        <w:t>[</w:t>
      </w:r>
      <w:r>
        <w:t xml:space="preserve">7]) ориентированы на хранение и распределение, а появляющиеся модули автоматического обогащения — обёртки над одной LLM, не отвечающие требованиям больших каталогов. Академические подходы разделены: специализированные системы извлечения признаков (TXtract </w:t>
      </w:r>
      <w:r>
        <w:t>[</w:t>
      </w:r>
      <w:r>
        <w:t xml:space="preserve">23], MAVE </w:t>
      </w:r>
      <w:r>
        <w:t>[</w:t>
      </w:r>
      <w:r>
        <w:t xml:space="preserve">24], OpenTag </w:t>
      </w:r>
      <w:r>
        <w:t>[</w:t>
      </w:r>
      <w:r>
        <w:t xml:space="preserve">25]) обеспечивают качество без учёта экономики; каскады LLM (FrugalGPT </w:t>
      </w:r>
      <w:r>
        <w:t>[</w:t>
      </w:r>
      <w:r>
        <w:t xml:space="preserve">9], AutoMix </w:t>
      </w:r>
      <w:r>
        <w:t>[</w:t>
      </w:r>
      <w:r>
        <w:t xml:space="preserve">10], Hybrid LLM </w:t>
      </w:r>
      <w:r>
        <w:t>[</w:t>
      </w:r>
      <w:r>
        <w:t xml:space="preserve">11], RouterBench </w:t>
      </w:r>
      <w:r>
        <w:t>[</w:t>
      </w:r>
      <w:r>
        <w:t>12]) дают инструменты управления стоимостью, но не интегрируют классическое ML. Из противоречия выведена гипотеза о каскаде разнородных слоёв и ТЗ.</w:t>
      </w:r>
    </w:p>
    <w:p>
      <w:r>
        <w:rPr>
          <w:b/>
        </w:rPr>
        <w:t>Глава 2.</w:t>
      </w:r>
      <w:r>
        <w:t xml:space="preserve"> Задача формализована как поатрибутное предсказание со схемой, допускающей явный отказ. Логика — каскад из пяти слоёв с последовательной фильтрацией: предсказание Слой 2 принимается только при одновременном выполнении </w:t>
      </w:r>
      <w:r>
        <w:drawing>
          <wp:inline xmlns:a="http://schemas.openxmlformats.org/drawingml/2006/main" xmlns:pic="http://schemas.openxmlformats.org/drawingml/2006/picture">
            <wp:extent cx="446205" cy="95092"/>
            <wp:docPr id="73" name="Picture 73"/>
            <wp:cNvGraphicFramePr>
              <a:graphicFrameLocks noChangeAspect="1"/>
            </wp:cNvGraphicFramePr>
            <a:graphic>
              <a:graphicData uri="http://schemas.openxmlformats.org/drawingml/2006/picture">
                <pic:pic>
                  <pic:nvPicPr>
                    <pic:cNvPr id="0" name="c2d441b275666c98.png"/>
                    <pic:cNvPicPr/>
                  </pic:nvPicPr>
                  <pic:blipFill>
                    <a:blip r:embed="rId61"/>
                    <a:stretch>
                      <a:fillRect/>
                    </a:stretch>
                  </pic:blipFill>
                  <pic:spPr>
                    <a:xfrm>
                      <a:off x="0" y="0"/>
                      <a:ext cx="446205" cy="95092"/>
                    </a:xfrm>
                    <a:prstGeom prst="rect"/>
                  </pic:spPr>
                </pic:pic>
              </a:graphicData>
            </a:graphic>
          </wp:inline>
        </w:drawing>
      </w:r>
      <w:r>
        <w:t xml:space="preserve"> и </w:t>
      </w:r>
      <w:r>
        <w:drawing>
          <wp:inline xmlns:a="http://schemas.openxmlformats.org/drawingml/2006/main" xmlns:pic="http://schemas.openxmlformats.org/drawingml/2006/picture">
            <wp:extent cx="387686" cy="95092"/>
            <wp:docPr id="74" name="Picture 74"/>
            <wp:cNvGraphicFramePr>
              <a:graphicFrameLocks noChangeAspect="1"/>
            </wp:cNvGraphicFramePr>
            <a:graphic>
              <a:graphicData uri="http://schemas.openxmlformats.org/drawingml/2006/picture">
                <pic:pic>
                  <pic:nvPicPr>
                    <pic:cNvPr id="0" name="0b040d6bb34a1b95.png"/>
                    <pic:cNvPicPr/>
                  </pic:nvPicPr>
                  <pic:blipFill>
                    <a:blip r:embed="rId36"/>
                    <a:stretch>
                      <a:fillRect/>
                    </a:stretch>
                  </pic:blipFill>
                  <pic:spPr>
                    <a:xfrm>
                      <a:off x="0" y="0"/>
                      <a:ext cx="387686" cy="95092"/>
                    </a:xfrm>
                    <a:prstGeom prst="rect"/>
                  </pic:spPr>
                </pic:pic>
              </a:graphicData>
            </a:graphic>
          </wp:inline>
        </w:drawing>
      </w:r>
      <w:r>
        <w:t xml:space="preserve"> — формализация ансамблевой оценки уверенности как AND-условия. Архитектурный выбор каждой компоненты (SBERT, XGBoost, pgmpy, Go-шлюз + Python-ML, открытая gpt-oss-120b) обоснован эксплуатационно, методологически и стратегически.</w:t>
      </w:r>
    </w:p>
    <w:p>
      <w:r>
        <w:rPr>
          <w:b/>
        </w:rPr>
        <w:t>Глава 3.</w:t>
      </w:r>
      <w:r>
        <w:t xml:space="preserve"> Каскад реализован как трёхкомпонентный комплекс (Go-шлюз, Python/FastAPI ML-сервис, статический веб-интерфейс); состав — 24 поатрибутных XGBoost (8/7/9 для pasta/chocolate/cheeses), три байесовские сети и Слой 0. На 4350 ячейках без пересечения брендов сквозная точность каскад + Gemini 2.5 Flash — 92,8 %, на 9,0 п. п. выше прямого Sonnet 4.5 при стоимости в 720 раз ниже; в сценарии локального развёртывания каскад + gpt-oss-120b — 92,3 % (на 23,0 п. п. выше самостоятельного использования). Слой 1 закрывает 18–23 % pasta/chocolate с точностью 87–90 % и 3 % cheeses со 100 % precision; Слой 2 — 72–94 % покрытия при 93,5–98,6 % точности; Bayes-валидатор работает селективно на chocolate/contains_nuts; LLM добавляет 2,3 п. п. при 3,3 % обращений. Предзарегистрированная H1 о превосходстве обучаемого маршрутизатора отклонена. Цикл «аудит — правки — переобучение — измерение» воспроизведён 3/3 с приростом +18,2, +16,3 и +14,4 п. п.</w:t>
      </w:r>
    </w:p>
    <w:p>
      <w:r>
        <w:rPr>
          <w:b/>
        </w:rPr>
        <w:t>Глава 4</w:t>
      </w:r>
      <w:r>
        <w:t xml:space="preserve"> переводит результаты в плоскость применения: три сценария по выбору Слой 4 (gemini-flash, Sonnet/GPT-4o, локально развёрнутая gpt-oss-120b); три ролевые модели (контент-менеджер, системный аналитик, инженер ML). Сводный эффект — сокращение стоимости в 720 раз и ручной нагрузки в 10–20 раз при точности 92,8 % с интервалом Вильсона </w:t>
      </w:r>
      <w:r>
        <w:t>[</w:t>
      </w:r>
      <w:r>
        <w:t>92,0; 93,6].</w:t>
      </w:r>
    </w:p>
    <w:p>
      <w:pPr>
        <w:pStyle w:val="Heading2"/>
      </w:pPr>
      <w:r>
        <w:rPr>
          <w:rFonts w:ascii="Times New Roman" w:hAnsi="Times New Roman"/>
          <w:color w:val="000000"/>
        </w:rPr>
        <w:t>5.2 Закрытие формулировок утверждённой темы</w:t>
      </w:r>
    </w:p>
    <w:p>
      <w:r>
        <w:t>Утверждённая тема работы содержит восемь содержательных формулировок. Каждой из них в работе соответствует конкретный раздел, а также архитектурный или экспериментальный компонент разработки. Соответствие представлено в таблице 5.1.</w:t>
      </w:r>
    </w:p>
    <w:p>
      <w:pPr>
        <w:jc w:val="left"/>
        <w:ind w:firstLine="0"/>
      </w:pPr>
      <w:r>
        <w:t>Таблица 5.1 — Соответствие формулировок утверждённой темы и разделов работы</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rPr>
          <w:tblHeader/>
        </w:trP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Формулировка из обоснования актуальности темы</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Реализация в работе</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Раздел</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Гибридная каскадная система</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Пятислойная архитектура каскада (Слой 0 + четыре содержательных слоя)</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2.2, 3.1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Семантические возможности генеративных моделей</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Запасной слой 4 на основе большой языковой модели</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3.1.1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Предсказательная сила классического машинного обучения</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Слой 2 — поатрибутные классификаторы XGBoost на многоязычных векторных представлениях SBERT</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3.1.1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Ансамблевая оценка уверенности моделей</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Многоуровневая фильтрация по уверенности как последовательное конъюнктивное условие на калиброванные пороги слоёв</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2.1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Отбраковка фактических ошибок до их попадания в каталог</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Слой 3 — байесовский валидатор плотностей пар «бренд × значение»</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3.1.1, 3.3.4</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Скрытые статистические закономерности каталога</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Направленный ациклический граф атрибутов, обучаемый алгоритмом Hill Climb с критерием BIC</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3.1.1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Разнородные источники данных (мультимодальные и многоканальные)</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OCR-извлечение из изображений Open Food Facts и эмбеддинги CLIP на этапе обучения; нечёткое сопоставление с базой USDA Branded Foods для производных атрибутов</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3.2.5</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Интернет-магазин (партнёр — каталог — витрина)</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Демонстрационный программный комплекс с REST-интерфейсом обработки партнёрского ввода и руководством пользователя</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1.1, 3.1.2, 4.1</w:t>
            </w:r>
          </w:p>
        </w:tc>
      </w:tr>
    </w:tbl>
    <w:p/>
    <w:p>
      <w:r>
        <w:t>Таким образом, все восемь содержательных формулировок утверждённой темы имеют прямое отображение в разработанной системе и подтверждены экспериментально либо архитектурно. Наиболее нагруженные формулировки — отбраковка фактических ошибок и использование скрытых статистических закономерностей каталога — закрыты слоем байесовского валидатора. Для него в работе пересмотрена роль: вместо самостоятельного классификатора сеть используется как валидатор плотностей.</w:t>
      </w:r>
    </w:p>
    <w:p>
      <w:pPr>
        <w:pStyle w:val="Heading2"/>
      </w:pPr>
      <w:r>
        <w:rPr>
          <w:rFonts w:ascii="Times New Roman" w:hAnsi="Times New Roman"/>
          <w:color w:val="000000"/>
        </w:rPr>
        <w:t>5.3 Научная новизна</w:t>
      </w:r>
    </w:p>
    <w:p>
      <w:r>
        <w:t>Научная новизна работы складывается из трёх содержательных пунктов.</w:t>
      </w:r>
    </w:p>
    <w:p>
      <w:pPr>
        <w:pStyle w:val="BodyText"/>
        <w:spacing w:before="20" w:after="20"/>
      </w:pPr>
      <w:r>
        <w:t xml:space="preserve">1. Доминирование каскадной архитектуры по Парето над всеми безусловными конфигурациями большой языковой модели на задаче обогащения товарных атрибутов. Одновременно достигается превышение точности на 9,0 процентных пункта и снижение стоимости в 720 раз по сравнению с прямым обращением к Claude Sonnet 4.5. Результат подтверждён на проверочной выборке без пересечения брендов из 4350 ячеек и воспроизведён на пяти различных моделях запасного слоя. Это означает, что эффект сохраняется при смене поставщика генеративной модели.</w:t>
      </w:r>
    </w:p>
    <w:p>
      <w:pPr>
        <w:pStyle w:val="BodyText"/>
        <w:spacing w:before="20" w:after="20"/>
      </w:pPr>
      <w:r>
        <w:t xml:space="preserve">2. Сценарий развёртывания на собственных мощностях с открытой большой языковой моделью. Каскад с открытой моделью gpt-oss-120b достигает 92,3 % сквозной точности — на 23,0 процентных пункта выше, чем самостоятельное применение той же модели. Результат демонстрирует способность каскадной композиции компенсировать слабость малых открытых моделей через специализированные слои. Кроме того, он формирует методологическую основу для локального развёртывания системы без передачи партнёрских данных во внешние коммерческие сервисы.</w:t>
      </w:r>
    </w:p>
    <w:p>
      <w:pPr>
        <w:pStyle w:val="BodyText"/>
        <w:spacing w:before="20" w:after="20"/>
      </w:pPr>
      <w:r>
        <w:t xml:space="preserve">3. Предзарегистрированный отрицательный результат для обучаемого стоимостно-чувствительного маршрутизатора и кросс-доменная репликация цикла «аудит — исправления — переобучение — измерение». Гипотеза о превосходстве обучаемого XGBoost-маршрутизатора над статическим правилом отклонена на трёх бюджетах с поправкой Бонферрони. Этот результат согласуется с выводами бенчмарка RouterBench </w:t>
      </w:r>
      <w:r>
        <w:t>[</w:t>
      </w:r>
      <w:r>
        <w:t>12]. Цикл аудита эталонной разметки воспроизведён на трёх категориях из трёх с количественно измеримым приростом сквозной точности.</w:t>
      </w:r>
    </w:p>
    <w:p>
      <w:pPr>
        <w:pStyle w:val="Heading2"/>
      </w:pPr>
      <w:r>
        <w:rPr>
          <w:rFonts w:ascii="Times New Roman" w:hAnsi="Times New Roman"/>
          <w:color w:val="000000"/>
        </w:rPr>
        <w:t>5.4 Ограничения работы</w:t>
      </w:r>
    </w:p>
    <w:p>
      <w:r>
        <w:t>Результаты ограничены рядом обстоятельств, добросовестно фиксируемых для формирования перспектив. Во-первых, область определения ограничена тремя категориями пищевой продукции; переносимость на другие домены не валидирована. Во-вторых, эталон построен сочетанием слабого надзора и согласия трёх LLM со слепой проверкой Opus 4 — аудит-эталон второго уровня, ручная экспертная разметка не выполнялась. В-третьих, мультимодальные сигналы OCR и CLIP используются только на обучении; в выводе работают только текстовые поля. В-четвёртых, проверка ограничена пятью европейскими языками, устойчивость к иным письменностям не валидирована. В-пятых, предварительная регистрация ограничена H1; показатели 3.3.2 — post-hoc анализ.</w:t>
      </w:r>
    </w:p>
    <w:p>
      <w:r>
        <w:t>Селективный характер Bayes-валидатора (значимый прирост точности отбраковки на 3 парах из 22) ограничением не считается, а признаётся архитектурным свойством. В финальной конфигурации валидатор включён точечно на chocolate/contains_nuts, где даёт +6,6 п. п. точности при росте расходов на 5,3 п. п. (3.3.4). Принцип «изменение роли компонента вместо его удаления» сформулирован в 3.1.1 и 3.3.4 как самостоятельный методологический вывод.</w:t>
      </w:r>
    </w:p>
    <w:p>
      <w:pPr>
        <w:pStyle w:val="Heading2"/>
      </w:pPr>
      <w:r>
        <w:rPr>
          <w:rFonts w:ascii="Times New Roman" w:hAnsi="Times New Roman"/>
          <w:color w:val="000000"/>
        </w:rPr>
        <w:t>5.5 Перспективы развития темы</w:t>
      </w:r>
    </w:p>
    <w:p>
      <w:r>
        <w:t>Полученные результаты и зафиксированные ограничения определяют ряд перспективных направлений развития темы.</w:t>
      </w:r>
    </w:p>
    <w:p>
      <w:pPr>
        <w:pStyle w:val="BodyText"/>
        <w:spacing w:before="20" w:after="20"/>
      </w:pPr>
      <w:r>
        <w:t xml:space="preserve">1. Расширение области определения до шести категорий — напитки, зерновые завтраки и косметика. Для этих категорий подготовлены схемы атрибутов и серебряная разметка в файлах </w:t>
      </w:r>
      <w:r>
        <w:rPr>
          <w:rFonts w:ascii="Consolas" w:hAnsi="Consolas"/>
          <w:sz w:val="18"/>
          <w:shd w:fill="F5F5F5" w:val="clear"/>
        </w:rPr>
        <w:t>beverages_stratified_silver_standard.parquet</w:t>
      </w:r>
      <w:r>
        <w:t xml:space="preserve">, </w:t>
      </w:r>
      <w:r>
        <w:rPr>
          <w:rFonts w:ascii="Consolas" w:hAnsi="Consolas"/>
          <w:sz w:val="18"/>
          <w:shd w:fill="F5F5F5" w:val="clear"/>
        </w:rPr>
        <w:t>cereals_stratified_silver_standard.parquet</w:t>
      </w:r>
      <w:r>
        <w:t xml:space="preserve"> и </w:t>
      </w:r>
      <w:r>
        <w:rPr>
          <w:rFonts w:ascii="Consolas" w:hAnsi="Consolas"/>
          <w:sz w:val="18"/>
          <w:shd w:fill="F5F5F5" w:val="clear"/>
        </w:rPr>
        <w:t>cosmetics_stratified_silver_standard.parquet</w:t>
      </w:r>
      <w:r>
        <w:t>. Основной блокер расширения — построение аудит-эталона уровня итоговой эталонной разметки v2 для каждой категории и обучение поатрибутных классификаторов Слой 2. Методология аудита и переобучения предположительно переносится на новые категории без принципиальных изменений.</w:t>
      </w:r>
    </w:p>
    <w:p>
      <w:pPr>
        <w:pStyle w:val="BodyText"/>
        <w:spacing w:before="20" w:after="20"/>
      </w:pPr>
      <w:r>
        <w:t xml:space="preserve">2. Регулярная переаттестация изотонической калибровки на следующих итерациях эталонной разметки. Эффект схемы перекрёстной калибровки экспериментально проверен и реализован в коде системы (3.3.3.3, флаг </w:t>
      </w:r>
      <w:r>
        <w:rPr>
          <w:rFonts w:ascii="Consolas" w:hAnsi="Consolas"/>
          <w:sz w:val="18"/>
          <w:shd w:fill="F5F5F5" w:val="clear"/>
        </w:rPr>
        <w:t>--calibration-method isotonic</w:t>
      </w:r>
      <w:r>
        <w:t xml:space="preserve"> в </w:t>
      </w:r>
      <w:r>
        <w:rPr>
          <w:rFonts w:ascii="Consolas" w:hAnsi="Consolas"/>
          <w:sz w:val="18"/>
          <w:shd w:fill="F5F5F5" w:val="clear"/>
        </w:rPr>
        <w:t>src/pipeline/ml/train.py</w:t>
      </w:r>
      <w:r>
        <w:t>). Средняя ECE снижается с 0,070 до 0,043, что даёт улучшение на 2,78 п. п. в среднем и прирост на 18 из 22 атрибутов. Перспектива заключается в переаттестации после расширения эталонной разметки до большего числа атрибутов и категорий. Также целесообразно добавить регрессионный тест на ухудшение ECE более чем на 0,01 как условие принятия следующего цикла переобучения.</w:t>
      </w:r>
    </w:p>
    <w:p>
      <w:pPr>
        <w:pStyle w:val="BodyText"/>
        <w:spacing w:before="20" w:after="20"/>
      </w:pPr>
      <w:r>
        <w:t xml:space="preserve">3. Введение мультимодального вывода в производственный режим — расширение прикладного интерфейса на приём изображений и добавление OCR/CLIP в реальном времени. Такой шаг требует пересмотра контракта взаимодействия с партнёром.</w:t>
      </w:r>
    </w:p>
    <w:p>
      <w:pPr>
        <w:pStyle w:val="BodyText"/>
        <w:spacing w:before="20" w:after="20"/>
      </w:pPr>
      <w:r>
        <w:t xml:space="preserve">4. Запуск пилотного активного обучения на ячейках расхождения каскада и запасного слоя </w:t>
      </w:r>
      <w:r>
        <w:t>[</w:t>
      </w:r>
      <w:r>
        <w:t xml:space="preserve">46, 39]. Логика построения очереди ячеек, где предсказание Слой 2 расходится с ответом запасного слоя, реализована в </w:t>
      </w:r>
      <w:r>
        <w:rPr>
          <w:rFonts w:ascii="Consolas" w:hAnsi="Consolas"/>
          <w:sz w:val="18"/>
          <w:shd w:fill="F5F5F5" w:val="clear"/>
        </w:rPr>
        <w:t>src/experiments/active_learning_pilot.py</w:t>
      </w:r>
      <w:r>
        <w:t>. Скрипт выполняет выборку 5 000 кодов на категорию, отбор 150 неуверенных и 150 случайных контрольных, а также повторное обучение с замером прироста на отложенной выборке. Перспектива заключается в проведении пилота в полном объёме на трёх категориях и в измерении прироста точности Слой 2 относительно случайной разметки той же стоимости.</w:t>
      </w:r>
    </w:p>
    <w:p>
      <w:pPr>
        <w:pStyle w:val="BodyText"/>
        <w:spacing w:before="20" w:after="20"/>
      </w:pPr>
      <w:r>
        <w:t xml:space="preserve">5. Использование базы USDA Branded Foods и аналогов как структурированного второго источника для производных атрибутов с систематизацией политики приоритетов между партнёрским вводом и вторичными каталогами.</w:t>
      </w:r>
    </w:p>
    <w:p>
      <w:pPr>
        <w:pStyle w:val="BodyText"/>
        <w:spacing w:before="20" w:after="20"/>
      </w:pPr>
      <w:r>
        <w:t xml:space="preserve">6. Локализация на русский язык и российские каталоги — разработка русскоязычных регулярных выражений Слой 1 и дообучение Слой 2 на каталогах российских ритейлеров. Поскольку SBERT поддерживает русский в едином векторном пространстве, трудоёмкость ограничена слоями 1–2.</w:t>
      </w:r>
    </w:p>
    <w:p>
      <w:pPr>
        <w:pStyle w:val="BodyText"/>
        <w:spacing w:before="20" w:after="20"/>
      </w:pPr>
      <w:r>
        <w:t xml:space="preserve">7. Перенос архитектуры в непродовольственные домены, начиная с электроники. Для смартфонов из каталога PhoneDB подготовлены схема атрибутов, скрипт построения серебряного стандарта и демонстрация холодного старта. Полноценное измерение точности требует построения аудит-эталона уровня итоговой эталонной разметки v2 и оценки без пересечения брендов. Электроника сохранена как контрольный домен проверки переносимости и в основную таблицу 3.3 не входит.</w:t>
      </w:r>
    </w:p>
    <w:p>
      <w:r>
        <w:t>Таким образом, разработанная гибридная каскадная система демонстрирует возможность одновременно достигать высокой точности и низкой стоимости обогащения товарных каталогов. Этот результат обеспечивается за счёт стратифицированного распределения нагрузки между разнородными по природе слоями обработки. Полученные результаты подтверждают выдвинутую в первой главе работы архитектурную гипотезу о каскадной композиции и закрывают все восемь содержательных формулировок утверждённой темы.</w:t>
      </w:r>
    </w:p>
    <w:p>
      <w:pPr>
        <w:pStyle w:val="Heading1"/>
      </w:pPr>
      <w:r>
        <w:rPr>
          <w:rFonts w:ascii="Times New Roman" w:hAnsi="Times New Roman"/>
          <w:color w:val="000000"/>
        </w:rPr>
        <w:t>СПИСОК ИСПОЛЬЗОВАННЫХ ИСТОЧНИКОВ</w:t>
      </w:r>
    </w:p>
    <w:p>
      <w:pPr>
        <w:pStyle w:val="BodyText"/>
        <w:spacing w:before="20" w:after="20"/>
      </w:pPr>
      <w:r>
        <w:t xml:space="preserve">1. Итоги интернет-торговли в России за 2025 год : пресс-релиз АКИТ от 19.02.2026 г. — Москва : Ассоциация компаний интернет-торговли, 2026. — URL: https://akit.ru/news/11-5-trln-rublej-akit-podvela-itogi-internet-torgovli-za-2025-god (дата обращения: 19.05.2026).</w:t>
      </w:r>
    </w:p>
    <w:p>
      <w:pPr>
        <w:pStyle w:val="BodyText"/>
        <w:spacing w:before="20" w:after="20"/>
      </w:pPr>
      <w:r>
        <w:t xml:space="preserve">2. Global Retail E-Commerce Forecast 2024 : research report. — eMarketer, 2024. — URL: https://www.emarketer.com (дата обращения: 03.05.2026).</w:t>
      </w:r>
    </w:p>
    <w:p>
      <w:pPr>
        <w:pStyle w:val="BodyText"/>
        <w:spacing w:before="20" w:after="20"/>
      </w:pPr>
      <w:r>
        <w:t xml:space="preserve">3. SellerFox : сервис аналитики маркетплейсов Wildberries и Ozon. — URL: https://sellerfox.ru (дата обращения: 19.05.2026). — Открытая база охватывает более 38 млн товарных позиций на Ozon по состоянию на 2025 год.</w:t>
      </w:r>
    </w:p>
    <w:p>
      <w:pPr>
        <w:pStyle w:val="BodyText"/>
        <w:spacing w:before="20" w:after="20"/>
      </w:pPr>
      <w:r>
        <w:t xml:space="preserve">4. Как ускорить работу с товарными карточками в 30 раз : отраслевой кейс / Retail.ru. — URL: https://www.retail.ru/articles/kak-uskorit-rabotu-s-tovarnymi-kartochkami-v-30-raz/ (дата обращения: 19.05.2026). — Иллюстрирует ограниченную масштабируемость ручного заведения и обогащения товарных карточек: производительность 20 контент-менеджеров — около 8 тыс. карточек в месяц при целевом объёме 50 тыс.</w:t>
      </w:r>
    </w:p>
    <w:p>
      <w:pPr>
        <w:pStyle w:val="BodyText"/>
        <w:spacing w:before="20" w:after="20"/>
      </w:pPr>
      <w:r>
        <w:t xml:space="preserve">5. Akeneo PIM : open product experience management platform. — Akeneo SAS. — URL: https://akeneo.com (дата обращения: 03.05.2026).</w:t>
      </w:r>
    </w:p>
    <w:p>
      <w:pPr>
        <w:pStyle w:val="BodyText"/>
        <w:spacing w:before="20" w:after="20"/>
      </w:pPr>
      <w:r>
        <w:t xml:space="preserve">6. Pimcore Platform : open-source data and experience management. — Pimcore GmbH. — URL: https://pimcore.com (дата обращения: 03.05.2026).</w:t>
      </w:r>
    </w:p>
    <w:p>
      <w:pPr>
        <w:pStyle w:val="BodyText"/>
        <w:spacing w:before="20" w:after="20"/>
      </w:pPr>
      <w:r>
        <w:t xml:space="preserve">7. Salsify Inc. : product experience management platform. — URL: https://www.salsify.com (дата обращения: 19.05.2026).</w:t>
      </w:r>
    </w:p>
    <w:p>
      <w:pPr>
        <w:pStyle w:val="BodyText"/>
        <w:spacing w:before="20" w:after="20"/>
      </w:pPr>
      <w:r>
        <w:t xml:space="preserve">8. Open source в России 2024 : аналитический отчёт. — Москва : Platform V, СберТех, 2024. — URL: https://platformv.sbertech.ru/open-source-v-rossii-2024 (дата обращения: 19.05.2026).</w:t>
      </w:r>
    </w:p>
    <w:p>
      <w:pPr>
        <w:pStyle w:val="BodyText"/>
        <w:spacing w:before="20" w:after="20"/>
      </w:pPr>
      <w:r>
        <w:t xml:space="preserve">9. Chen L., Zaharia M., Zou J. FrugalGPT: How to Use Large Language Models While Reducing Cost and Improving Performance // Transactions on Machine Learning Research. — 2024. — URL: https://arxiv.org/abs/2305.05176.</w:t>
      </w:r>
    </w:p>
    <w:p>
      <w:pPr>
        <w:pStyle w:val="BodyText"/>
        <w:spacing w:before="20" w:after="20"/>
      </w:pPr>
      <w:r>
        <w:t xml:space="preserve">10. Aggarwal P., Madaan A., Yang Y., Mausam. AutoMix: Automatically Mixing Language Models // Advances in Neural Information Processing Systems (NeurIPS 2024). — 2024. — URL: https://arxiv.org/abs/2310.12963.</w:t>
      </w:r>
    </w:p>
    <w:p>
      <w:pPr>
        <w:pStyle w:val="BodyText"/>
        <w:spacing w:before="20" w:after="20"/>
      </w:pPr>
      <w:r>
        <w:t xml:space="preserve">11. Ding D., Mallick A., Wang C., Sim R., Mukherjee S., Rühle V., Lakshmanan L. V. S., Awadallah A. H. Hybrid LLM: Cost-Efficient and Quality-Aware Query Routing // Proceedings of the International Conference on Learning Representations (ICLR 2024). — 2024. — URL: https://arxiv.org/abs/2404.14618.</w:t>
      </w:r>
    </w:p>
    <w:p>
      <w:pPr>
        <w:pStyle w:val="BodyText"/>
        <w:spacing w:before="20" w:after="20"/>
      </w:pPr>
      <w:r>
        <w:t xml:space="preserve">12. Hu Q. J., Bieker J., Li X., Jiang N., Keigwin B., Ranganath G., Keutzer K., Upadhyay S. K. RouterBench: A Benchmark for Multi-LLM Routing System // Advances in Neural Information Processing Systems (NeurIPS 2024). — 2024. — URL: https://arxiv.org/abs/2403.12031.</w:t>
      </w:r>
    </w:p>
    <w:p>
      <w:pPr>
        <w:pStyle w:val="BodyText"/>
        <w:spacing w:before="20" w:after="20"/>
      </w:pPr>
      <w:r>
        <w:t xml:space="preserve">13. Open Food Facts : open product database for food products. — URL: https://world.openfoodfacts.org/data (дата обращения: 03.05.2026).</w:t>
      </w:r>
    </w:p>
    <w:p>
      <w:pPr>
        <w:pStyle w:val="BodyText"/>
        <w:spacing w:before="20" w:after="20"/>
      </w:pPr>
      <w:r>
        <w:t xml:space="preserve">14. Chen T., Guestrin C. XGBoost: A Scalable Tree Boosting System // Proceedings of the 22nd ACM SIGKDD International Conference on Knowledge Discovery and Data Mining (KDD’16). — San Francisco : ACM, 2016. — P. 785–794.</w:t>
      </w:r>
    </w:p>
    <w:p>
      <w:pPr>
        <w:pStyle w:val="BodyText"/>
        <w:spacing w:before="20" w:after="20"/>
      </w:pPr>
      <w:r>
        <w:t xml:space="preserve">15. Ke G., Meng Q., Finley T., Wang T., Chen W., Ma W., Ye Q., Liu T.-Y. LightGBM: A Highly Efficient Gradient Boosting Decision Tree // Advances in Neural Information Processing Systems. — 2017. — Vol. 30. — P. 3146–3154.</w:t>
      </w:r>
    </w:p>
    <w:p>
      <w:pPr>
        <w:pStyle w:val="BodyText"/>
        <w:spacing w:before="20" w:after="20"/>
      </w:pPr>
      <w:r>
        <w:t xml:space="preserve">16. Афанасьев Г. И., Афанасьев А. Г., Бурмистрова М. В., Тэт Вей Ян Со. Исследование методов машинного обучения для прогнозирования эффективных бизнес-решений в системах электронной коммерции // E-Scio. — 2022. — URL: https://cyberleninka.ru/article/n/issledovanie-metodov-mashinnogo-obucheniya-dlya-prognozirovaniya-effektivnyh-biznes-resheniy-v-sistemah-elektronnoy-kommertsii (дата обращения: 19.05.2026).</w:t>
      </w:r>
    </w:p>
    <w:p>
      <w:pPr>
        <w:pStyle w:val="BodyText"/>
        <w:spacing w:before="20" w:after="20"/>
      </w:pPr>
      <w:r>
        <w:t xml:space="preserve">17. Vaswani A., Shazeer N., Parmar N. et al. Attention Is All You Need // Advances in Neural Information Processing Systems. — 2017. — Vol. 30. — P. 5998–6008. — URL: https://arxiv.org/abs/1706.03762.</w:t>
      </w:r>
    </w:p>
    <w:p>
      <w:pPr>
        <w:pStyle w:val="BodyText"/>
        <w:spacing w:before="20" w:after="20"/>
      </w:pPr>
      <w:r>
        <w:t xml:space="preserve">18. Devlin J., Chang M.-W., Lee K., Toutanova K. BERT: Pre-training of Deep Bidirectional Transformers for Language Understanding // Proceedings of NAACL-HLT 2019. — ACL, 2019. — P. 4171–4186. — URL: https://arxiv.org/abs/1810.04805.</w:t>
      </w:r>
    </w:p>
    <w:p>
      <w:pPr>
        <w:pStyle w:val="BodyText"/>
        <w:spacing w:before="20" w:after="20"/>
      </w:pPr>
      <w:r>
        <w:t xml:space="preserve">19. Reimers N., Gurevych I. Sentence-BERT: Sentence Embeddings using Siamese BERT-Networks // Proceedings of the 2019 Conference on Empirical Methods in Natural Language Processing. — Hong Kong : ACL, 2019. — P. 3982–3992. — URL: https://arxiv.org/abs/1908.10084.</w:t>
      </w:r>
    </w:p>
    <w:p>
      <w:pPr>
        <w:pStyle w:val="BodyText"/>
        <w:spacing w:before="20" w:after="20"/>
      </w:pPr>
      <w:r>
        <w:t xml:space="preserve">20. Reimers N., Gurevych I. Making Monolingual Sentence Embeddings Multilingual using Knowledge Distillation // Proceedings of the 2020 Conference on Empirical Methods in Natural Language Processing. — ACL, 2020. — P. 4512–4525. — URL: https://arxiv.org/abs/2004.09813.</w:t>
      </w:r>
    </w:p>
    <w:p>
      <w:pPr>
        <w:pStyle w:val="BodyText"/>
        <w:spacing w:before="20" w:after="20"/>
      </w:pPr>
      <w:r>
        <w:t xml:space="preserve">21. Колонин А. Г. High-performance automatic categorization and attribution of inventory catalogs. — 2022. — 9 p. — arXiv:2202.08965. — URL: https://arxiv.org/abs/2202.08965.</w:t>
      </w:r>
    </w:p>
    <w:p>
      <w:pPr>
        <w:pStyle w:val="BodyText"/>
        <w:spacing w:before="20" w:after="20"/>
      </w:pPr>
      <w:r>
        <w:t xml:space="preserve">22. Большакова Е. И., Воронцов К. В., Ефремова Н. Э., Клышинский Э. С., Лукашевич Н. В., Сапин А. С. Автоматическая обработка текстов на естественном языке и анализ данных : учебное пособие. — Москва : Издательство НИУ ВШЭ, 2017. — 269 с. — URL: https://www.hse.ru/data/2017/08/12/1174382135/NLP_and_DA.pdf (дата обращения: 19.05.2026).</w:t>
      </w:r>
    </w:p>
    <w:p>
      <w:pPr>
        <w:pStyle w:val="BodyText"/>
        <w:spacing w:before="20" w:after="20"/>
      </w:pPr>
      <w:r>
        <w:t xml:space="preserve">23. Karamanolakis G., Ma J., Dong X. L. TXtract: Taxonomy-Aware Knowledge Extraction for Thousands of Product Categories // Proceedings of the 58th Annual Meeting of the Association for Computational Linguistics (ACL 2020). — 2020. — P. 8489–8502. — URL: https://aclanthology.org/2020.acl-main.751/.</w:t>
      </w:r>
    </w:p>
    <w:p>
      <w:pPr>
        <w:pStyle w:val="BodyText"/>
        <w:spacing w:before="20" w:after="20"/>
      </w:pPr>
      <w:r>
        <w:t xml:space="preserve">24. Yang L., Wang Q., Yu Z., Kulkarni A., Sanghai S., Shu B., Elsas J., Kanagal B. MAVE: A Product Dataset for Multi-source Attribute Value Extraction // Proceedings of the 15th ACM International Conference on Web Search and Data Mining (WSDM 2022). — 2022. — P. 1256–1265. — URL: https://dl.acm.org/doi/10.1145/3488560.3498377.</w:t>
      </w:r>
    </w:p>
    <w:p>
      <w:pPr>
        <w:pStyle w:val="BodyText"/>
        <w:spacing w:before="20" w:after="20"/>
      </w:pPr>
      <w:r>
        <w:t xml:space="preserve">25. Zheng G., Mukherjee S., Dong X. L., Li F. OpenTag: Open Attribute Value Extraction from Product Profiles // Proceedings of the 24th ACM SIGKDD International Conference on Knowledge Discovery &amp; Data Mining (KDD 2018). — 2018. — P. 1049–1058. — URL: https://dl.acm.org/doi/10.1145/3219819.3219839.</w:t>
      </w:r>
    </w:p>
    <w:p>
      <w:pPr>
        <w:pStyle w:val="BodyText"/>
        <w:spacing w:before="20" w:after="20"/>
      </w:pPr>
      <w:r>
        <w:t xml:space="preserve">26. Ratner A., Bach S. H., Ehrenberg H. R., Fries J., Wu S., Ré C. Snorkel: Rapid Training Data Creation with Weak Supervision // Proceedings of the VLDB Endowment. — 2017. — Vol. 11, № 3. — P. 269–282.</w:t>
      </w:r>
    </w:p>
    <w:p>
      <w:pPr>
        <w:pStyle w:val="BodyText"/>
        <w:spacing w:before="20" w:after="20"/>
      </w:pPr>
      <w:r>
        <w:t xml:space="preserve">27. Platt J. C. Probabilistic Outputs for Support Vector Machines and Comparisons to Regularized Likelihood Methods // Advances in Large Margin Classifiers. — MIT Press, 1999. — P. 61–74.</w:t>
      </w:r>
    </w:p>
    <w:p>
      <w:pPr>
        <w:pStyle w:val="BodyText"/>
        <w:spacing w:before="20" w:after="20"/>
      </w:pPr>
      <w:r>
        <w:t xml:space="preserve">28. Niculescu-Mizil A., Caruana R. Predicting Good Probabilities with Supervised Learning // Proceedings of the 22nd International Conference on Machine Learning. — Bonn : ACM, 2005. — P. 625–632.</w:t>
      </w:r>
    </w:p>
    <w:p>
      <w:pPr>
        <w:pStyle w:val="BodyText"/>
        <w:spacing w:before="20" w:after="20"/>
      </w:pPr>
      <w:r>
        <w:t xml:space="preserve">29. Guo C., Pleiss G., Sun Y., Weinberger K. Q. On Calibration of Modern Neural Networks // Proceedings of the 34th International Conference on Machine Learning (ICML 2017). — PMLR, 2017. — Vol. 70. — P. 1321–1330.</w:t>
      </w:r>
    </w:p>
    <w:p>
      <w:pPr>
        <w:pStyle w:val="BodyText"/>
        <w:spacing w:before="20" w:after="20"/>
      </w:pPr>
      <w:r>
        <w:t xml:space="preserve">30. Kohavi R. A Study of Cross-Validation and Bootstrap for Accuracy Estimation and Model Selection // Proceedings of the 14th International Joint Conference on Artificial Intelligence. — Morgan Kaufmann, 1995. — P. 1137–1143.</w:t>
      </w:r>
    </w:p>
    <w:p>
      <w:pPr>
        <w:pStyle w:val="BodyText"/>
        <w:spacing w:before="20" w:after="20"/>
      </w:pPr>
      <w:r>
        <w:t xml:space="preserve">31. Wilson E. B. Probable Inference, the Law of Succession, and Statistical Inference // Journal of the American Statistical Association. — 1927. — Vol. 22, № 158. — P. 209–212.</w:t>
      </w:r>
    </w:p>
    <w:p>
      <w:pPr>
        <w:pStyle w:val="BodyText"/>
        <w:spacing w:before="20" w:after="20"/>
      </w:pPr>
      <w:r>
        <w:t xml:space="preserve">32. Pearl J. Probabilistic Reasoning in Intelligent Systems: Networks of Plausible Inference. — San Francisco : Morgan Kaufmann, 1988. — 552 p.</w:t>
      </w:r>
    </w:p>
    <w:p>
      <w:pPr>
        <w:pStyle w:val="BodyText"/>
        <w:spacing w:before="20" w:after="20"/>
      </w:pPr>
      <w:r>
        <w:t xml:space="preserve">33. Heckerman D., Geiger D., Chickering D. M. Learning Bayesian Networks: The Combination of Knowledge and Statistical Data // Machine Learning. — 1995. — Vol. 20, № 3. — P. 197–243.</w:t>
      </w:r>
    </w:p>
    <w:p>
      <w:pPr>
        <w:pStyle w:val="BodyText"/>
        <w:spacing w:before="20" w:after="20"/>
      </w:pPr>
      <w:r>
        <w:t xml:space="preserve">34. Тулупьев А. Л., Николенко С. И., Сироткин А. В. Байесовские сети: логико-вероятностный подход. — Санкт-Петербург : Наука, 2006. — 607 с.</w:t>
      </w:r>
    </w:p>
    <w:p>
      <w:pPr>
        <w:pStyle w:val="BodyText"/>
        <w:spacing w:before="20" w:after="20"/>
      </w:pPr>
      <w:r>
        <w:t xml:space="preserve">35. Ankan A., Panda A. pgmpy: Probabilistic Graphical Models using Python // Proceedings of the 14th Python in Science Conference (SciPy 2015). — 2015. — P. 6–11.</w:t>
      </w:r>
    </w:p>
    <w:p>
      <w:pPr>
        <w:pStyle w:val="BodyText"/>
        <w:spacing w:before="20" w:after="20"/>
      </w:pPr>
      <w:r>
        <w:t xml:space="preserve">36. Schwarz G. Estimating the Dimension of a Model // Annals of Statistics. — 1978. — Vol. 6, № 2. — P. 461–464.</w:t>
      </w:r>
    </w:p>
    <w:p>
      <w:pPr>
        <w:pStyle w:val="BodyText"/>
        <w:spacing w:before="20" w:after="20"/>
      </w:pPr>
      <w:r>
        <w:t xml:space="preserve">37. Артемов А. А. Модели машинного обучения в FMCG-ритейле: архитектура и эксплуатация в условиях высокой изменчивости данных // Вестник науки. — 2025. — URL: https://cyberleninka.ru/article/n/modeli-mashinnogo-obucheniya-v-fmcg-riteyle-arhitektura-i-ekspluatatsiya-v-usloviyah-vysokoy-izmenchivosti-dannyh (дата обращения: 19.05.2026).</w:t>
      </w:r>
    </w:p>
    <w:p>
      <w:pPr>
        <w:pStyle w:val="BodyText"/>
        <w:spacing w:before="20" w:after="20"/>
      </w:pPr>
      <w:r>
        <w:t xml:space="preserve">38. Сергеев С. А. Управление запасами в условиях маркетплейсов: почему не работают стандартные методы? // Вестник Академии знаний. — 2024. — URL: https://cyberleninka.ru/article/n/upravlenie-zapasami-v-usloviyah-marketpleysov-pochemu-ne-rabotayut-standartnye-metody (дата обращения: 19.05.2026).</w:t>
      </w:r>
    </w:p>
    <w:p>
      <w:pPr>
        <w:pStyle w:val="BodyText"/>
        <w:spacing w:before="20" w:after="20"/>
      </w:pPr>
      <w:r>
        <w:t xml:space="preserve">39. Гилязев Р. А., Турдаков Д. Ю. Активное обучение и краудсорсинг: обзор методов оптимизации разметки данных // Труды Института системного программирования РАН. — 2018. — Т. 30, № 2. — С. 215–250. — DOI: 10.15514/ISPRAS-2018-30(2)-11. — URL: https://cyberleninka.ru/article/n/aktivnoe-obuchenie-i-kraudsorsing-obzor-metodov-optimizatsii-razmetki-dannyh (дата обращения: 19.05.2026).</w:t>
      </w:r>
    </w:p>
    <w:p>
      <w:pPr>
        <w:pStyle w:val="BodyText"/>
        <w:spacing w:before="20" w:after="20"/>
      </w:pPr>
      <w:r>
        <w:t xml:space="preserve">40. Хорошевский В. Ф. Пространства знаний в сети Интернет и Semantic Web (Часть 1) // Искусственный интеллект и принятие решений. — 2008. — URL: http://aidt.ru/index.php?Itemid=114&amp;catid=43&amp;id=137&amp;lang=ru&amp;option=com_content&amp;view=article (дата обращения: 19.05.2026).</w:t>
      </w:r>
    </w:p>
    <w:p>
      <w:pPr>
        <w:pStyle w:val="BodyText"/>
        <w:spacing w:before="20" w:after="20"/>
      </w:pPr>
      <w:r>
        <w:t xml:space="preserve">41. Brown T. B., Mann B., Ryder N. et al. Language Models are Few-Shot Learners // Advances in Neural Information Processing Systems. — 2020. — Vol. 33. — P. 1877–1901. — URL: https://arxiv.org/abs/2005.14165.</w:t>
      </w:r>
    </w:p>
    <w:p>
      <w:pPr>
        <w:pStyle w:val="BodyText"/>
        <w:spacing w:before="20" w:after="20"/>
      </w:pPr>
      <w:r>
        <w:t xml:space="preserve">42. Anthropic. Claude 4 family : model card. — Anthropic, 2025. — URL: https://www.anthropic.com (дата обращения: 03.05.2026).</w:t>
      </w:r>
    </w:p>
    <w:p>
      <w:pPr>
        <w:pStyle w:val="BodyText"/>
        <w:spacing w:before="20" w:after="20"/>
      </w:pPr>
      <w:r>
        <w:t xml:space="preserve">43. Radford A., Kim J. W., Hallacy C. et al. Learning Transferable Visual Models From Natural Language Supervision // Proceedings of the 38th International Conference on Machine Learning (ICML 2021). — PMLR, 2021. — P. 8748–8763. — URL: https://arxiv.org/abs/2103.00020.</w:t>
      </w:r>
    </w:p>
    <w:p>
      <w:pPr>
        <w:pStyle w:val="BodyText"/>
        <w:spacing w:before="20" w:after="20"/>
      </w:pPr>
      <w:r>
        <w:t xml:space="preserve">44. USDA FoodData Central : public nutrient database, SR Legacy release. — U. S. Department of Agriculture, Agricultural Research Service. — URL: https://fdc.nal.usda.gov (дата обращения: 03.05.2026).</w:t>
      </w:r>
    </w:p>
    <w:p>
      <w:pPr>
        <w:pStyle w:val="BodyText"/>
        <w:spacing w:before="20" w:after="20"/>
      </w:pPr>
      <w:r>
        <w:t xml:space="preserve">45. PhoneDB : open phone specs database. — URL: https://phonedb.net (дата обращения: 03.05.2026).</w:t>
      </w:r>
    </w:p>
    <w:p>
      <w:pPr>
        <w:pStyle w:val="BodyText"/>
        <w:spacing w:before="20" w:after="20"/>
      </w:pPr>
      <w:r>
        <w:t xml:space="preserve">46. Settles B. Active Learning Literature Survey. — University of Wisconsin–Madison, 2010. — Computer Sciences Technical Report 1648. — URL: https://burrsettles.com/pub/settles.activelearning.pdf.</w:t>
      </w:r>
    </w:p>
    <w:sectPr xmlns:w="http://schemas.openxmlformats.org/wordprocessingml/2006/main">
      <w:footerReference xmlns:r="http://schemas.openxmlformats.org/officeDocument/2006/relationships" w:type="default" r:id="rId74"/>
      <w:footerReference xmlns:r="http://schemas.openxmlformats.org/officeDocument/2006/relationships" w:type="first" r:id="rId75"/>
      <w:pgSz w:w="11906" w:h="16838"/>
      <w:pgMar w:top="1134" w:right="850" w:bottom="1134" w:left="1701" w:header="708" w:footer="708"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rPr>
        <w:rFonts w:ascii="Times New Roman" w:hAnsi="Times New Roman"/>
        <w:sz w:val="28"/>
      </w:rPr>
    </w:pPr>
    <w:r>
      <w:rPr>
        <w:rFonts w:ascii="Times New Roman" w:hAnsi="Times New Roman"/>
        <w:sz w:val="28"/>
      </w:rPr>
      <w:fldChar w:fldCharType="begin"/>
    </w:r>
    <w:r>
      <w:rPr>
        <w:rFonts w:ascii="Times New Roman" w:hAnsi="Times New Roman"/>
        <w:sz w:val="28"/>
      </w:rPr>
      <w:instrText xml:space="preserve">PAGE</w:instrText>
    </w:r>
    <w:r>
      <w:rPr>
        <w:rFonts w:ascii="Times New Roman" w:hAnsi="Times New Roman"/>
        <w:sz w:val="28"/>
      </w:rPr>
      <w:fldChar w:fldCharType="end"/>
    </w:r>
  </w:p>
</w:ftr>
</file>

<file path=word/footer2.xml><?xml version="1.0" encoding="utf-8"?>
<w:ftr xmlns:w="http://schemas.openxmlformats.org/wordprocessingml/2006/main">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pPr>
      <w:spacing w:before="0" w:after="0" w:line="360" w:lineRule="auto"/>
      <w:ind w:firstLine="709"/>
      <w:jc w:val="both"/>
    </w:pPr>
    <w:rPr>
      <w:rFonts w:ascii="Times New Roman" w:hAnsi="Times New Roman" w:cs="Times New Roman"/>
      <w:sz w:val="28"/>
      <w:szCs w:val="28"/>
    </w:rPr>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pageBreakBefore/>
      <w:spacing w:before="0" w:after="240" w:line="360" w:lineRule="auto"/>
      <w:ind w:firstLine="0"/>
      <w:jc w:val="center"/>
    </w:pPr>
    <w:rPr>
      <w:rFonts w:ascii="Times New Roman" w:hAnsi="Times New Roman" w:cs="Times New Roman"/>
      <w:color w:val="000000"/>
      <w:sz w:val="32"/>
      <w:szCs w:val="32"/>
      <w:b/>
      <w:bCs/>
      <w:caps/>
    </w:rPr>
  </w:style>
  <w:style w:type="paragraph" w:styleId="Heading2">
    <w:name w:val="heading 2"/>
    <w:basedOn w:val="Normal"/>
    <w:next w:val="Normal"/>
    <w:link w:val="Heading2Char"/>
    <w:uiPriority w:val="9"/>
    <w:unhideWhenUsed/>
    <w:qFormat/>
    <w:rsid w:val="00FC693F"/>
    <w:pPr>
      <w:spacing w:before="480" w:after="240" w:line="360" w:lineRule="auto"/>
      <w:ind w:firstLine="720"/>
      <w:jc w:val="left"/>
    </w:pPr>
    <w:rPr>
      <w:rFonts w:ascii="Times New Roman" w:hAnsi="Times New Roman" w:cs="Times New Roman"/>
      <w:color w:val="000000"/>
      <w:sz w:val="28"/>
      <w:szCs w:val="28"/>
      <w:b/>
      <w:bCs/>
    </w:rPr>
  </w:style>
  <w:style w:type="paragraph" w:styleId="Heading3">
    <w:name w:val="heading 3"/>
    <w:basedOn w:val="Normal"/>
    <w:next w:val="Normal"/>
    <w:link w:val="Heading3Char"/>
    <w:uiPriority w:val="9"/>
    <w:unhideWhenUsed/>
    <w:qFormat/>
    <w:rsid w:val="00FC693F"/>
    <w:pPr>
      <w:spacing w:before="360" w:after="180" w:line="360" w:lineRule="auto"/>
      <w:ind w:firstLine="720"/>
      <w:jc w:val="left"/>
    </w:pPr>
    <w:rPr>
      <w:rFonts w:ascii="Times New Roman" w:hAnsi="Times New Roman" w:cs="Times New Roman"/>
      <w:color w:val="000000"/>
      <w:sz w:val="28"/>
      <w:szCs w:val="28"/>
      <w:b/>
      <w:bCs/>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ascii="Times New Roman" w:hAnsi="Times New Roman"/>
      <w:b/>
      <w:color w:val="000000"/>
      <w:sz w:val="22"/>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ascii="Times New Roman" w:hAnsi="Times New Roman"/>
      <w:b/>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before="0" w:after="0" w:line="360" w:lineRule="auto"/>
      <w:ind w:firstLine="709"/>
      <w:jc w:val="both"/>
    </w:pPr>
    <w:rPr>
      <w:rFonts w:ascii="Times New Roman" w:hAnsi="Times New Roman" w:cs="Times New Roman"/>
      <w:sz w:val="28"/>
      <w:szCs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Char">
    <w:name w:val="Code Char"/>
    <w:rPr>
      <w:rFonts w:ascii="Consolas" w:hAnsi="Consolas"/>
      <w:color w:val="1A1A1A"/>
      <w:sz w:val="18"/>
    </w:rPr>
  </w:style>
  <w:style w:type="paragraph" w:customStyle="1" w:styleId="Compact">
    <w:name w:val="Compact"/>
    <w:basedOn w:val="Normal"/>
    <w:pPr>
      <w:spacing w:before="0" w:after="0" w:line="360" w:lineRule="auto"/>
      <w:ind w:firstLine="709"/>
      <w:jc w:val="both"/>
    </w:pPr>
    <w:rPr>
      <w:rFonts w:ascii="Times New Roman" w:hAnsi="Times New Roman" w:cs="Times New Roman"/>
      <w:sz w:val="28"/>
      <w:szCs w:val="28"/>
    </w:rPr>
  </w:style>
  <w:style w:type="paragraph" w:customStyle="1" w:styleId="ac">
    <w:name w:val="ac"/>
    <w:basedOn w:val="Normal"/>
    <w:pPr>
      <w:spacing w:before="0" w:after="0" w:line="360" w:lineRule="auto"/>
      <w:ind w:firstLine="709"/>
      <w:jc w:val="both"/>
    </w:pPr>
    <w:rPr>
      <w:rFonts w:ascii="Times New Roman" w:hAnsi="Times New Roman" w:cs="Times New Roman"/>
      <w:sz w:val="28"/>
      <w:szCs w:val="28"/>
    </w:rPr>
  </w:style>
  <w:style w:type="paragraph" w:customStyle="1" w:styleId="FirstParagraph">
    <w:name w:val="FirstParagraph"/>
    <w:basedOn w:val="Normal"/>
    <w:pPr>
      <w:spacing w:before="0" w:after="0" w:line="360" w:lineRule="auto"/>
      <w:ind w:firstLine="709"/>
      <w:jc w:val="both"/>
    </w:pPr>
    <w:rPr>
      <w:rFonts w:ascii="Times New Roman" w:hAnsi="Times New Roman" w:cs="Times New Roman"/>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footer" Target="footer1.xml"/><Relationship Id="rId7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