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0677" w14:textId="77777777" w:rsidR="00670DFF" w:rsidRPr="00D0681B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Nightingale — Technical Brief</w:t>
      </w:r>
    </w:p>
    <w:p w14:paraId="6AB1D68C" w14:textId="77777777" w:rsidR="00670DFF" w:rsidRPr="00D0681B" w:rsidRDefault="00000000">
      <w:pPr>
        <w:jc w:val="center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>48-Hour Candidate Build · First-Touch-to-Care PWA</w:t>
      </w:r>
    </w:p>
    <w:p w14:paraId="4380B876" w14:textId="77777777" w:rsidR="00670DFF" w:rsidRPr="00D0681B" w:rsidRDefault="00000000">
      <w:pPr>
        <w:jc w:val="center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i/>
        </w:rPr>
        <w:t>Python · Django · SQLite · Google Gemini · Microsoft Presidio</w:t>
      </w:r>
    </w:p>
    <w:p w14:paraId="3C316D85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1. Objective and Product Approach</w:t>
      </w:r>
    </w:p>
    <w:p w14:paraId="4F435B4F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Objective. </w:t>
      </w:r>
      <w:r w:rsidRPr="00D0681B">
        <w:rPr>
          <w:rFonts w:ascii="Times New Roman" w:hAnsi="Times New Roman" w:cs="Times New Roman"/>
        </w:rPr>
        <w:t>Build a secure vertical slice that catches a prospect at first inquiry, gives immediate value without forcing signup, then converts the interaction into an authenticated/consented PatientSession with structured Memory and a clinician handoff when needed.</w:t>
      </w:r>
    </w:p>
    <w:p w14:paraId="6612D74A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First-principles decision. </w:t>
      </w:r>
      <w:r w:rsidRPr="00D0681B">
        <w:rPr>
          <w:rFonts w:ascii="Times New Roman" w:hAnsi="Times New Roman" w:cs="Times New Roman"/>
        </w:rPr>
        <w:t>Trust is treated as a sequence rather than a form: give value first, keep Guest and Patient boundaries explicit, preserve attribution and provenance, and make clinical escalation a deliberate patient action rather than silently sharing pre-consent content.</w:t>
      </w:r>
    </w:p>
    <w:p w14:paraId="7BDA19CE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2.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383"/>
        <w:gridCol w:w="1292"/>
        <w:gridCol w:w="1325"/>
        <w:gridCol w:w="1412"/>
        <w:gridCol w:w="1331"/>
        <w:gridCol w:w="1356"/>
      </w:tblGrid>
      <w:tr w:rsidR="00670DFF" w:rsidRPr="00D0681B" w14:paraId="6929C0FA" w14:textId="77777777">
        <w:trPr>
          <w:jc w:val="center"/>
        </w:trPr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CF190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Acquisition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C19B8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LeadSession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3A426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Guest AI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D2CC1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Consent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AD7FB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PatientSession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8C994A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Memory + Risk</w:t>
            </w:r>
          </w:p>
        </w:tc>
        <w:tc>
          <w:tcPr>
            <w:tcW w:w="1493" w:type="dxa"/>
            <w:shd w:val="clear" w:color="auto" w:fill="E9F2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E19550" w14:textId="77777777" w:rsidR="00670DFF" w:rsidRPr="00D0681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6"/>
              </w:rPr>
              <w:t>Escalation</w:t>
            </w:r>
          </w:p>
        </w:tc>
      </w:tr>
    </w:tbl>
    <w:p w14:paraId="01DD2964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• Acquisition layer: </w:t>
      </w:r>
      <w:r w:rsidRPr="00D0681B">
        <w:rPr>
          <w:rFonts w:ascii="Times New Roman" w:hAnsi="Times New Roman" w:cs="Times New Roman"/>
        </w:rPr>
        <w:t>Simulated channel contracts create a LeadSession with clinic, source_channel, campaign_id, creative, identity level, landing context and timestamp.</w:t>
      </w:r>
    </w:p>
    <w:p w14:paraId="1C8995DB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• Conversation layer: </w:t>
      </w:r>
      <w:r w:rsidRPr="00D0681B">
        <w:rPr>
          <w:rFonts w:ascii="Times New Roman" w:hAnsi="Times New Roman" w:cs="Times New Roman"/>
        </w:rPr>
        <w:t>Guest and Patient messages are persisted as Message records. Gemini is used for empathetic, non-diagnostic conversation. Only privacy-processed text is intentionally sent downstream.</w:t>
      </w:r>
    </w:p>
    <w:p w14:paraId="6546B2B3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• Safety layer: </w:t>
      </w:r>
      <w:r w:rsidRPr="00D0681B">
        <w:rPr>
          <w:rFonts w:ascii="Times New Roman" w:hAnsi="Times New Roman" w:cs="Times New Roman"/>
        </w:rPr>
        <w:t>Each incoming health message is redacted, risk-gated and persisted as a RiskAssessment before the conversational response. Mandatory emergency phrases have deterministic HIGH handling.</w:t>
      </w:r>
    </w:p>
    <w:p w14:paraId="64425A16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• Memory layer: </w:t>
      </w:r>
      <w:r w:rsidRPr="00D0681B">
        <w:rPr>
          <w:rFonts w:ascii="Times New Roman" w:hAnsi="Times New Roman" w:cs="Times New Roman"/>
        </w:rPr>
        <w:t>After consent, structured chief complaint, symptom, timeline, medication and allergy facts are stored as MemoryItem records with status, updated_at and provenance_pointer.</w:t>
      </w:r>
    </w:p>
    <w:p w14:paraId="6086EEC2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• Handoff layer: </w:t>
      </w:r>
      <w:r w:rsidRPr="00D0681B">
        <w:rPr>
          <w:rFonts w:ascii="Times New Roman" w:hAnsi="Times New Roman" w:cs="Times New Roman"/>
        </w:rPr>
        <w:t>Send to Clinic creates a persisted Escalation containing the triggering message, 1–5 triage bullets, profile snapshot, provenance points and acquisition context.</w:t>
      </w:r>
    </w:p>
    <w:p w14:paraId="3382707A" w14:textId="77777777" w:rsidR="00670DFF" w:rsidRPr="00D0681B" w:rsidRDefault="00000000">
      <w:pPr>
        <w:jc w:val="center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>Message → PHI redaction → deterministic + semantic risk → persisted assessment → Gemini response → optional Send to Clinic</w:t>
      </w:r>
    </w:p>
    <w:p w14:paraId="2E21D6A8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3. AI and Clinical Safety Boundary</w:t>
      </w:r>
    </w:p>
    <w:p w14:paraId="6334B8CE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Nightingale is intentionally not a diagnostic assistant. </w:t>
      </w:r>
      <w:r w:rsidRPr="00D0681B">
        <w:rPr>
          <w:rFonts w:ascii="Times New Roman" w:hAnsi="Times New Roman" w:cs="Times New Roman"/>
        </w:rPr>
        <w:t>The conversational model is prompted to acknowledge the user calmly, provide useful general information, and ask one relevant follow-up question without diagnoses, medication changes, treatment plans or false reassurance. HIGH-risk messages are interrupted by urgent safety guidance; the exact 999 emergency notice is appended deterministically so it cannot be omitted by the model.</w:t>
      </w:r>
    </w:p>
    <w:p w14:paraId="78A2A580" w14:textId="51E2F67D" w:rsidR="00670DFF" w:rsidRPr="00D0681B" w:rsidRDefault="00670DFF">
      <w:pPr>
        <w:rPr>
          <w:rFonts w:ascii="Times New Roman" w:hAnsi="Times New Roman" w:cs="Times New Roman"/>
        </w:rPr>
      </w:pPr>
    </w:p>
    <w:p w14:paraId="12B42A92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4. Data Schema, Provenance and Conversion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3"/>
        <w:gridCol w:w="3160"/>
        <w:gridCol w:w="3223"/>
      </w:tblGrid>
      <w:tr w:rsidR="00670DFF" w:rsidRPr="00D0681B" w14:paraId="4FBD9928" w14:textId="77777777">
        <w:trPr>
          <w:jc w:val="center"/>
        </w:trPr>
        <w:tc>
          <w:tcPr>
            <w:tcW w:w="3485" w:type="dxa"/>
            <w:shd w:val="clear" w:color="auto" w:fill="D9EAF7"/>
          </w:tcPr>
          <w:p w14:paraId="24D1DB5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7"/>
              </w:rPr>
              <w:t>Entity</w:t>
            </w:r>
          </w:p>
        </w:tc>
        <w:tc>
          <w:tcPr>
            <w:tcW w:w="3485" w:type="dxa"/>
            <w:shd w:val="clear" w:color="auto" w:fill="D9EAF7"/>
          </w:tcPr>
          <w:p w14:paraId="21D74F5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7"/>
              </w:rPr>
              <w:t>Role</w:t>
            </w:r>
          </w:p>
        </w:tc>
        <w:tc>
          <w:tcPr>
            <w:tcW w:w="3485" w:type="dxa"/>
            <w:shd w:val="clear" w:color="auto" w:fill="D9EAF7"/>
          </w:tcPr>
          <w:p w14:paraId="5C0BE784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7"/>
              </w:rPr>
              <w:t>Key linkage</w:t>
            </w:r>
          </w:p>
        </w:tc>
      </w:tr>
      <w:tr w:rsidR="00670DFF" w:rsidRPr="00D0681B" w14:paraId="4A44BD63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A96414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LeadSession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713738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Pre-signup inquiry + attribution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60450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Clinic → LeadSession → FunnelEvent / Message</w:t>
            </w:r>
          </w:p>
        </w:tc>
      </w:tr>
      <w:tr w:rsidR="00670DFF" w:rsidRPr="00D0681B" w14:paraId="451F8C1A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22605F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PatientSession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7FB7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Consented longitudinal session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6239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Patient + Clinic + origin LeadSession</w:t>
            </w:r>
          </w:p>
        </w:tc>
      </w:tr>
      <w:tr w:rsidR="00670DFF" w:rsidRPr="00D0681B" w14:paraId="0A5841B1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4EA925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Message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BBD94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Guest, Patient and AI conversation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8AE3F7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May point to origin_message after conversion</w:t>
            </w:r>
          </w:p>
        </w:tc>
      </w:tr>
      <w:tr w:rsidR="00670DFF" w:rsidRPr="00D0681B" w14:paraId="2166F6C7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DCD74C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RiskAssessment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3C811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Per-message safety metadata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2FFF6E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One-to-one with incoming Message</w:t>
            </w:r>
          </w:p>
        </w:tc>
      </w:tr>
      <w:tr w:rsidR="00670DFF" w:rsidRPr="00D0681B" w14:paraId="58A93219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1605A4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MemoryItem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E313C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Structured Living Profile fact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7ACA21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PatientSession + provenance_pointer to source Message</w:t>
            </w:r>
          </w:p>
        </w:tc>
      </w:tr>
      <w:tr w:rsidR="00670DFF" w:rsidRPr="00D0681B" w14:paraId="1238B88E" w14:textId="77777777">
        <w:trPr>
          <w:jc w:val="center"/>
        </w:trPr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3C85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Escalation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58A018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Clinician handoff payload</w:t>
            </w:r>
          </w:p>
        </w:tc>
        <w:tc>
          <w:tcPr>
            <w:tcW w:w="34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029C7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PatientSession + triggering Message + snapshots</w:t>
            </w:r>
          </w:p>
        </w:tc>
      </w:tr>
    </w:tbl>
    <w:p w14:paraId="250CCBB8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Conversion and provenance. </w:t>
      </w:r>
      <w:r w:rsidRPr="00D0681B">
        <w:rPr>
          <w:rFonts w:ascii="Times New Roman" w:hAnsi="Times New Roman" w:cs="Times New Roman"/>
        </w:rPr>
        <w:t xml:space="preserve">Guest content is not turned into a structured Living Profile until the user chooses the secure transition and provides consent. During conversion, Guest messages are copied into the PatientSession for continuity, </w:t>
      </w:r>
      <w:r w:rsidRPr="00D0681B">
        <w:rPr>
          <w:rFonts w:ascii="Times New Roman" w:hAnsi="Times New Roman" w:cs="Times New Roman"/>
        </w:rPr>
        <w:lastRenderedPageBreak/>
        <w:t>while extracted memory facts preserve provenance to the original GuestMessage when applicable. Later corrections create a new current state and retain the prior state as superseded rather than deleting history.</w:t>
      </w:r>
    </w:p>
    <w:p w14:paraId="76F02B28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Example: </w:t>
      </w:r>
      <w:r w:rsidRPr="00D0681B">
        <w:rPr>
          <w:rFonts w:ascii="Times New Roman" w:hAnsi="Times New Roman" w:cs="Times New Roman"/>
        </w:rPr>
        <w:t>“I take Advil.” → Medication: Advil (active), provenance = source message. “Actually I stopped last week.” → prior item superseded; new Medication: Advil (stopped), provenance = correction message.</w:t>
      </w:r>
    </w:p>
    <w:p w14:paraId="76B48B26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5. Privacy, Redaction and Access Control</w:t>
      </w:r>
    </w:p>
    <w:p w14:paraId="074B271F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PHI redaction is centralized in core/redaction.py using Microsoft Presidio plus deterministic patterns for Singapore NRIC/FIN-style and Malaysian IC-style identifiers. Redacted text is stored in Message.redacted_content and used for downstream LLM processing.</w:t>
      </w:r>
    </w:p>
    <w:p w14:paraId="69287C8B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Server-side patient isolation is centralized in get_authorized_patient_session(). Patient-facing chat, send and escalation routes verify ownership (or the browser PatientSession created during the prototype conversion flow) instead of trusting a URL UUID.</w:t>
      </w:r>
    </w:p>
    <w:p w14:paraId="513EC7BF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Django Admin provides authenticated staff access. Automated tests verify Patient A cannot fetch Patient B, a patient cannot open staff triage/admin, and staff can access the admin area.</w:t>
      </w:r>
    </w:p>
    <w:p w14:paraId="7081CFC3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Only synthetic data should be used. The prototype does not claim production-grade encryption at rest, verified OTP/MFA, or hardened pre-consent staff visibility; these are explicit deployment requirements rather than hidden assumptions.</w:t>
      </w:r>
    </w:p>
    <w:p w14:paraId="3F0C62D4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6. Failure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0"/>
        <w:gridCol w:w="4786"/>
      </w:tblGrid>
      <w:tr w:rsidR="00670DFF" w:rsidRPr="00D0681B" w14:paraId="413A66E0" w14:textId="77777777">
        <w:trPr>
          <w:jc w:val="center"/>
        </w:trPr>
        <w:tc>
          <w:tcPr>
            <w:tcW w:w="5227" w:type="dxa"/>
            <w:shd w:val="clear" w:color="auto" w:fill="F2F2F2"/>
          </w:tcPr>
          <w:p w14:paraId="5938239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7"/>
              </w:rPr>
              <w:t>Failure</w:t>
            </w:r>
          </w:p>
        </w:tc>
        <w:tc>
          <w:tcPr>
            <w:tcW w:w="5227" w:type="dxa"/>
            <w:shd w:val="clear" w:color="auto" w:fill="F2F2F2"/>
          </w:tcPr>
          <w:p w14:paraId="59B99FF5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7"/>
              </w:rPr>
              <w:t>Prototype behavior</w:t>
            </w:r>
          </w:p>
        </w:tc>
      </w:tr>
      <w:tr w:rsidR="00670DFF" w:rsidRPr="00D0681B" w14:paraId="2E913266" w14:textId="77777777">
        <w:trPr>
          <w:jc w:val="center"/>
        </w:trPr>
        <w:tc>
          <w:tcPr>
            <w:tcW w:w="5227" w:type="dxa"/>
          </w:tcPr>
          <w:p w14:paraId="7889764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Gemini conversation unavailable</w:t>
            </w:r>
          </w:p>
        </w:tc>
        <w:tc>
          <w:tcPr>
            <w:tcW w:w="5227" w:type="dxa"/>
          </w:tcPr>
          <w:p w14:paraId="4C8BE9B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Return a conservative fallback; HIGH-risk deterministic safety notice remains available.</w:t>
            </w:r>
          </w:p>
        </w:tc>
      </w:tr>
      <w:tr w:rsidR="00670DFF" w:rsidRPr="00D0681B" w14:paraId="3FBFAFC6" w14:textId="77777777">
        <w:trPr>
          <w:jc w:val="center"/>
        </w:trPr>
        <w:tc>
          <w:tcPr>
            <w:tcW w:w="5227" w:type="dxa"/>
          </w:tcPr>
          <w:p w14:paraId="134739A4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Memory extraction unavailable</w:t>
            </w:r>
          </w:p>
        </w:tc>
        <w:tc>
          <w:tcPr>
            <w:tcW w:w="5227" w:type="dxa"/>
          </w:tcPr>
          <w:p w14:paraId="2E7B001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Do not break chat; skip the memory update for that turn.</w:t>
            </w:r>
          </w:p>
        </w:tc>
      </w:tr>
      <w:tr w:rsidR="00670DFF" w:rsidRPr="00D0681B" w14:paraId="4CD3260E" w14:textId="77777777">
        <w:trPr>
          <w:jc w:val="center"/>
        </w:trPr>
        <w:tc>
          <w:tcPr>
            <w:tcW w:w="5227" w:type="dxa"/>
          </w:tcPr>
          <w:p w14:paraId="37C71FF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Semantic risk classifier unavailable</w:t>
            </w:r>
          </w:p>
        </w:tc>
        <w:tc>
          <w:tcPr>
            <w:tcW w:w="5227" w:type="dxa"/>
          </w:tcPr>
          <w:p w14:paraId="6D2202D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Mandatory deterministic emergency phrases still classify HIGH; production version should fail closed to conservative escalation.</w:t>
            </w:r>
          </w:p>
        </w:tc>
      </w:tr>
      <w:tr w:rsidR="00670DFF" w:rsidRPr="00D0681B" w14:paraId="2664104B" w14:textId="77777777">
        <w:trPr>
          <w:jc w:val="center"/>
        </w:trPr>
        <w:tc>
          <w:tcPr>
            <w:tcW w:w="5227" w:type="dxa"/>
          </w:tcPr>
          <w:p w14:paraId="5B67B2FD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Unauthorized session access</w:t>
            </w:r>
          </w:p>
        </w:tc>
        <w:tc>
          <w:tcPr>
            <w:tcW w:w="5227" w:type="dxa"/>
          </w:tcPr>
          <w:p w14:paraId="344A6DD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7"/>
              </w:rPr>
              <w:t>Reject server-side with 404 rather than exposing another patient session.</w:t>
            </w:r>
          </w:p>
        </w:tc>
      </w:tr>
    </w:tbl>
    <w:p w14:paraId="67D1E283" w14:textId="0B16EAF0" w:rsidR="00670DFF" w:rsidRPr="00D0681B" w:rsidRDefault="00670DFF">
      <w:pPr>
        <w:rPr>
          <w:rFonts w:ascii="Times New Roman" w:hAnsi="Times New Roman" w:cs="Times New Roman"/>
        </w:rPr>
      </w:pPr>
    </w:p>
    <w:p w14:paraId="79EBB08D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7. Channel Strategy and Trust Compatibility</w:t>
      </w:r>
    </w:p>
    <w:p w14:paraId="61E0FFD1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The matrix below is a product-risk classification for this prototype, not legal advice. “Legal / policy” means whether additional PDPA, Malaysian healthcare-advertising and platform-policy review would be required before production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1555"/>
        <w:gridCol w:w="1648"/>
        <w:gridCol w:w="1631"/>
        <w:gridCol w:w="1561"/>
        <w:gridCol w:w="1590"/>
      </w:tblGrid>
      <w:tr w:rsidR="00670DFF" w:rsidRPr="00D0681B" w14:paraId="19E3816C" w14:textId="77777777">
        <w:trPr>
          <w:jc w:val="center"/>
        </w:trPr>
        <w:tc>
          <w:tcPr>
            <w:tcW w:w="1742" w:type="dxa"/>
            <w:shd w:val="clear" w:color="auto" w:fill="D9EAF7"/>
          </w:tcPr>
          <w:p w14:paraId="0FC2D2A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Channel / tactic</w:t>
            </w:r>
          </w:p>
        </w:tc>
        <w:tc>
          <w:tcPr>
            <w:tcW w:w="1742" w:type="dxa"/>
            <w:shd w:val="clear" w:color="auto" w:fill="D9EAF7"/>
          </w:tcPr>
          <w:p w14:paraId="4018802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Tech</w:t>
            </w:r>
          </w:p>
        </w:tc>
        <w:tc>
          <w:tcPr>
            <w:tcW w:w="1742" w:type="dxa"/>
            <w:shd w:val="clear" w:color="auto" w:fill="D9EAF7"/>
          </w:tcPr>
          <w:p w14:paraId="06F91B15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Legal / PDPA-MAB</w:t>
            </w:r>
          </w:p>
        </w:tc>
        <w:tc>
          <w:tcPr>
            <w:tcW w:w="1742" w:type="dxa"/>
            <w:shd w:val="clear" w:color="auto" w:fill="D9EAF7"/>
          </w:tcPr>
          <w:p w14:paraId="1D90AFF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Platform</w:t>
            </w:r>
          </w:p>
        </w:tc>
        <w:tc>
          <w:tcPr>
            <w:tcW w:w="1742" w:type="dxa"/>
            <w:shd w:val="clear" w:color="auto" w:fill="D9EAF7"/>
          </w:tcPr>
          <w:p w14:paraId="52BBB7E7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Trust</w:t>
            </w:r>
          </w:p>
        </w:tc>
        <w:tc>
          <w:tcPr>
            <w:tcW w:w="1742" w:type="dxa"/>
            <w:shd w:val="clear" w:color="auto" w:fill="D9EAF7"/>
          </w:tcPr>
          <w:p w14:paraId="068AE79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b/>
                <w:sz w:val="15"/>
              </w:rPr>
              <w:t>Decision</w:t>
            </w:r>
          </w:p>
        </w:tc>
      </w:tr>
      <w:tr w:rsidR="00670DFF" w:rsidRPr="00D0681B" w14:paraId="6BE7CA72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E8BF7C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Staff referral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6DB2D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13331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Low risk with existing care context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9C398D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58864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High</w:t>
            </w:r>
          </w:p>
        </w:tc>
        <w:tc>
          <w:tcPr>
            <w:tcW w:w="1742" w:type="dxa"/>
            <w:shd w:val="clear" w:color="auto" w:fill="E2F0D9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232FA7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GREEN</w:t>
            </w:r>
          </w:p>
        </w:tc>
      </w:tr>
      <w:tr w:rsidR="00670DFF" w:rsidRPr="00D0681B" w14:paraId="44F3416D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4E5AC5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Website widget / ad click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FD0C0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C29DC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Standard consent/privacy review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2B378E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F03C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High</w:t>
            </w:r>
          </w:p>
        </w:tc>
        <w:tc>
          <w:tcPr>
            <w:tcW w:w="1742" w:type="dxa"/>
            <w:shd w:val="clear" w:color="auto" w:fill="E2F0D9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409DD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GREEN</w:t>
            </w:r>
          </w:p>
        </w:tc>
      </w:tr>
      <w:tr w:rsidR="00670DFF" w:rsidRPr="00D0681B" w14:paraId="6288055B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21DF05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Social comment → private reply link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5964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1355B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Review sensitive-health handling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CB6C1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Depends on API/permissions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FDE9A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Medium</w:t>
            </w:r>
          </w:p>
        </w:tc>
        <w:tc>
          <w:tcPr>
            <w:tcW w:w="1742" w:type="dxa"/>
            <w:shd w:val="clear" w:color="auto" w:fill="FFF2C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9499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YELLOW</w:t>
            </w:r>
          </w:p>
        </w:tc>
      </w:tr>
      <w:tr w:rsidR="00670DFF" w:rsidRPr="00D0681B" w14:paraId="78CD9D1E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42716B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Google Review public “ask us” link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05C4EC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6094A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Avoid exposing health context publicly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32F148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Generally possible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5F163F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Medium</w:t>
            </w:r>
          </w:p>
        </w:tc>
        <w:tc>
          <w:tcPr>
            <w:tcW w:w="1742" w:type="dxa"/>
            <w:shd w:val="clear" w:color="auto" w:fill="FFF2C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E5467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YELLOW</w:t>
            </w:r>
          </w:p>
        </w:tc>
      </w:tr>
      <w:tr w:rsidR="00670DFF" w:rsidRPr="00D0681B" w14:paraId="4E4BF4A0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11903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Competitor-review scraping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D5913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31275A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High privacy/marketing concern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BF8AE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Likely restrictive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408648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742" w:type="dxa"/>
            <w:shd w:val="clear" w:color="auto" w:fill="F4CCC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6C1AC7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RED</w:t>
            </w:r>
          </w:p>
        </w:tc>
      </w:tr>
      <w:tr w:rsidR="00670DFF" w:rsidRPr="00D0681B" w14:paraId="060EE6FA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F46EAB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Unsolicited health-thread DMs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4666F9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E9118F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High sensitivity/consent concern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537024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Likely restrictive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020313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Very low</w:t>
            </w:r>
          </w:p>
        </w:tc>
        <w:tc>
          <w:tcPr>
            <w:tcW w:w="1742" w:type="dxa"/>
            <w:shd w:val="clear" w:color="auto" w:fill="F4CCC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3CBC42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RED</w:t>
            </w:r>
          </w:p>
        </w:tc>
      </w:tr>
      <w:tr w:rsidR="00670DFF" w:rsidRPr="00D0681B" w14:paraId="073A6150" w14:textId="77777777">
        <w:trPr>
          <w:jc w:val="center"/>
        </w:trPr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BFC4BD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Condition-based retargeting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B37D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Yes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9066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Sensitive profiling concern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0736BE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Restricted in many ad contexts</w:t>
            </w:r>
          </w:p>
        </w:tc>
        <w:tc>
          <w:tcPr>
            <w:tcW w:w="1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CC0000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742" w:type="dxa"/>
            <w:shd w:val="clear" w:color="auto" w:fill="F4CCC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28C5D6" w14:textId="77777777" w:rsidR="00670DFF" w:rsidRPr="00D0681B" w:rsidRDefault="00000000">
            <w:pPr>
              <w:rPr>
                <w:rFonts w:ascii="Times New Roman" w:hAnsi="Times New Roman" w:cs="Times New Roman"/>
              </w:rPr>
            </w:pPr>
            <w:r w:rsidRPr="00D0681B">
              <w:rPr>
                <w:rFonts w:ascii="Times New Roman" w:hAnsi="Times New Roman" w:cs="Times New Roman"/>
                <w:sz w:val="14"/>
              </w:rPr>
              <w:t>RED</w:t>
            </w:r>
          </w:p>
        </w:tc>
      </w:tr>
    </w:tbl>
    <w:p w14:paraId="65B3E0E0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8. Scope, Trade-offs and Assumptions</w:t>
      </w:r>
    </w:p>
    <w:p w14:paraId="40C6CEA9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SQLite was chosen for reviewer simplicity and speed. A production deployment would move to a managed encrypted database with backups and audit controls.</w:t>
      </w:r>
    </w:p>
    <w:p w14:paraId="25F308B5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Acquisition is simulated rather than connected to live Meta/TikTok webhooks. The domain contracts and attribution model are present so real connectors can be attached later.</w:t>
      </w:r>
    </w:p>
    <w:p w14:paraId="77A1BD06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The prototype uses a consent-based session transition rather than production-grade verified email/phone authentication. Identity verification is the most important security upgrade before clinic deployment.</w:t>
      </w:r>
    </w:p>
    <w:p w14:paraId="12DD9501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lastRenderedPageBreak/>
        <w:t>• Django Admin is used as the staff portal to prioritize a working vertical slice. A dedicated clinician queue, role-specific permissions and warm-lead dashboard are natural next steps.</w:t>
      </w:r>
    </w:p>
    <w:p w14:paraId="59AA0AB9" w14:textId="77777777" w:rsidR="00670DFF" w:rsidRPr="00D0681B" w:rsidRDefault="00000000">
      <w:pPr>
        <w:pStyle w:val="CompactBullet"/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</w:rPr>
        <w:t>• The implementation prioritizes trust handoffs, safety, provenance and testability over breadth. Required micro-tests cover conversion, value events, escalation payload, risk, memory mutation, redaction, access control and AI trust disclosure.</w:t>
      </w:r>
    </w:p>
    <w:p w14:paraId="6B6A405C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9. VoiceAI Readiness</w:t>
      </w:r>
    </w:p>
    <w:p w14:paraId="6633EB80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Voice is not implemented in the 48-hour UI. </w:t>
      </w:r>
      <w:r w:rsidRPr="00D0681B">
        <w:rPr>
          <w:rFonts w:ascii="Times New Roman" w:hAnsi="Times New Roman" w:cs="Times New Roman"/>
        </w:rPr>
        <w:t>The intended extension is to store an audio asset/transcript identifier on or adjacent to Message, run the transcript through the same redaction → risk → memory pipeline, and preserve the transcript/message ID as provenance. The conversational and escalation layers therefore remain modality-independent. A production implementation would add explicit audio_asset_id, transcript_id, transcription_status and consent metadata.</w:t>
      </w:r>
    </w:p>
    <w:p w14:paraId="70DE84DC" w14:textId="77777777" w:rsidR="00670DFF" w:rsidRPr="00D068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681B">
        <w:rPr>
          <w:rFonts w:ascii="Times New Roman" w:hAnsi="Times New Roman" w:cs="Times New Roman"/>
          <w:color w:val="auto"/>
        </w:rPr>
        <w:t>10. Result</w:t>
      </w:r>
    </w:p>
    <w:p w14:paraId="239BD353" w14:textId="77777777" w:rsidR="00670DFF" w:rsidRPr="00D0681B" w:rsidRDefault="00000000">
      <w:pPr>
        <w:rPr>
          <w:rFonts w:ascii="Times New Roman" w:hAnsi="Times New Roman" w:cs="Times New Roman"/>
        </w:rPr>
      </w:pPr>
      <w:r w:rsidRPr="00D0681B">
        <w:rPr>
          <w:rFonts w:ascii="Times New Roman" w:hAnsi="Times New Roman" w:cs="Times New Roman"/>
          <w:b/>
        </w:rPr>
        <w:t xml:space="preserve">The delivered vertical slice demonstrates the complete trust path: </w:t>
      </w:r>
      <w:r w:rsidRPr="00D0681B">
        <w:rPr>
          <w:rFonts w:ascii="Times New Roman" w:hAnsi="Times New Roman" w:cs="Times New Roman"/>
        </w:rPr>
        <w:t>attributed acquisition → useful Guest conversation → consented conversion → risk-gated Patient intake → mutable Living Memory with provenance → persisted Send to Clinic escalation. The build intentionally keeps the moving parts small while making safety boundaries, provenance and remaining production gaps explicit.</w:t>
      </w:r>
    </w:p>
    <w:sectPr w:rsidR="00670DFF" w:rsidRPr="00D0681B" w:rsidSect="00D0681B">
      <w:footerReference w:type="default" r:id="rId8"/>
      <w:pgSz w:w="12240" w:h="15840"/>
      <w:pgMar w:top="1440" w:right="1440" w:bottom="144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84CB" w14:textId="77777777" w:rsidR="00362536" w:rsidRDefault="00362536">
      <w:pPr>
        <w:spacing w:after="0" w:line="240" w:lineRule="auto"/>
      </w:pPr>
      <w:r>
        <w:separator/>
      </w:r>
    </w:p>
  </w:endnote>
  <w:endnote w:type="continuationSeparator" w:id="0">
    <w:p w14:paraId="20A3B9AA" w14:textId="77777777" w:rsidR="00362536" w:rsidRDefault="00362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464C" w14:textId="77777777" w:rsidR="00670DFF" w:rsidRDefault="00000000">
    <w:pPr>
      <w:pStyle w:val="Footer"/>
      <w:jc w:val="right"/>
    </w:pPr>
    <w:r>
      <w:t xml:space="preserve">Nightingale Technical </w:t>
    </w:r>
    <w:proofErr w:type="gramStart"/>
    <w:r>
      <w:t>Brief  |</w:t>
    </w:r>
    <w:proofErr w:type="gramEnd"/>
    <w:r>
      <w:t xml:space="preserve">  </w:t>
    </w:r>
    <w:r>
      <w:fldChar w:fldCharType="begin"/>
    </w:r>
    <w:r>
      <w:instrText>PAGE</w:instrText>
    </w:r>
    <w:r w:rsidR="00D0681B">
      <w:fldChar w:fldCharType="separate"/>
    </w:r>
    <w:r w:rsidR="00D068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83F8" w14:textId="77777777" w:rsidR="00362536" w:rsidRDefault="00362536">
      <w:pPr>
        <w:spacing w:after="0" w:line="240" w:lineRule="auto"/>
      </w:pPr>
      <w:r>
        <w:separator/>
      </w:r>
    </w:p>
  </w:footnote>
  <w:footnote w:type="continuationSeparator" w:id="0">
    <w:p w14:paraId="2A2BF7FD" w14:textId="77777777" w:rsidR="00362536" w:rsidRDefault="00362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229806">
    <w:abstractNumId w:val="8"/>
  </w:num>
  <w:num w:numId="2" w16cid:durableId="1437939075">
    <w:abstractNumId w:val="6"/>
  </w:num>
  <w:num w:numId="3" w16cid:durableId="209458324">
    <w:abstractNumId w:val="5"/>
  </w:num>
  <w:num w:numId="4" w16cid:durableId="115831175">
    <w:abstractNumId w:val="4"/>
  </w:num>
  <w:num w:numId="5" w16cid:durableId="915479399">
    <w:abstractNumId w:val="7"/>
  </w:num>
  <w:num w:numId="6" w16cid:durableId="1325619443">
    <w:abstractNumId w:val="3"/>
  </w:num>
  <w:num w:numId="7" w16cid:durableId="92751465">
    <w:abstractNumId w:val="2"/>
  </w:num>
  <w:num w:numId="8" w16cid:durableId="1701054139">
    <w:abstractNumId w:val="1"/>
  </w:num>
  <w:num w:numId="9" w16cid:durableId="202686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536"/>
    <w:rsid w:val="00670DFF"/>
    <w:rsid w:val="00985D6E"/>
    <w:rsid w:val="00AA1D8D"/>
    <w:rsid w:val="00B47730"/>
    <w:rsid w:val="00CB0664"/>
    <w:rsid w:val="00D0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00235"/>
  <w14:defaultImageDpi w14:val="300"/>
  <w15:docId w15:val="{DD6074DB-2F41-4774-9D72-E2D1F039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30"/>
      <w:ind w:left="259" w:hanging="173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tess yap</cp:lastModifiedBy>
  <cp:revision>2</cp:revision>
  <dcterms:created xsi:type="dcterms:W3CDTF">2013-12-23T23:15:00Z</dcterms:created>
  <dcterms:modified xsi:type="dcterms:W3CDTF">2026-09-03T04:49:00Z</dcterms:modified>
  <cp:category/>
</cp:coreProperties>
</file>