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240"/>
              <w:bottom w:type="dxa" w:w="8"/>
              <w:right w:type="dxa" w:w="240"/>
            </w:tcMar>
          </w:tcPr>
          <w:p>
            <w:pPr>
              <w:jc w:val="center"/>
            </w:pPr>
            <w:r>
              <w:rPr>
                <w:rFonts w:ascii="Times New Roman" w:cs="Times New Roman" w:eastAsia="Times New Roman" w:hAnsi="Times New Roman"/>
                <w:b w:val="false"/>
                <w:bCs w:val="false"/>
                <w:color w:val="0D1B2A"/>
                <w:sz w:val="22"/>
                <w:szCs w:val="22"/>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120"/>
              <w:left w:type="dxa" w:w="240"/>
              <w:bottom w:type="dxa" w:w="8"/>
              <w:right w:type="dxa" w:w="240"/>
            </w:tcMar>
          </w:tcPr>
          <w:p>
            <w:pPr>
              <w:jc w:val="center"/>
            </w:pPr>
            <w:r>
              <w:rPr>
                <w:rFonts w:ascii="Times New Roman" w:cs="Times New Roman" w:eastAsia="Times New Roman" w:hAnsi="Times New Roman"/>
                <w:b/>
                <w:bCs/>
                <w:color w:val="FFFFFF"/>
                <w:sz w:val="52"/>
                <w:szCs w:val="52"/>
              </w:rPr>
              <w:t xml:space="preserve">GIC 2026</w:t>
            </w:r>
          </w:p>
        </w:tc>
      </w:tr>
      <w:tr>
        <w:tc>
          <w:tcPr>
            <w:tcW w:type="dxa" w:w="9360"/>
            <w:tcBorders>
              <w:top w:val="none" w:color="FFFFFF" w:sz="0"/>
              <w:left w:val="none" w:color="FFFFFF" w:sz="0"/>
              <w:bottom w:val="none" w:color="FFFFFF" w:sz="0"/>
              <w:right w:val="none" w:color="FFFFFF" w:sz="0"/>
            </w:tcBorders>
            <w:shd w:fill="0D1B2A" w:val="clear"/>
            <w:tcMar>
              <w:top w:type="dxa" w:w="6"/>
              <w:left w:type="dxa" w:w="240"/>
              <w:bottom w:type="dxa" w:w="8"/>
              <w:right w:type="dxa" w:w="240"/>
            </w:tcMar>
          </w:tcPr>
          <w:p>
            <w:pPr>
              <w:jc w:val="center"/>
            </w:pPr>
            <w:r>
              <w:rPr>
                <w:rFonts w:ascii="Times New Roman" w:cs="Times New Roman" w:eastAsia="Times New Roman" w:hAnsi="Times New Roman"/>
                <w:b w:val="false"/>
                <w:bCs w:val="false"/>
                <w:color w:val="AED6F1"/>
                <w:sz w:val="26"/>
                <w:szCs w:val="26"/>
              </w:rPr>
              <w:t xml:space="preserve">Global Industry Challenge — Phase 3</w:t>
            </w:r>
          </w:p>
        </w:tc>
      </w:tr>
      <w:tr>
        <w:tc>
          <w:tcPr>
            <w:tcW w:type="dxa" w:w="9360"/>
            <w:tcBorders>
              <w:top w:val="none" w:color="FFFFFF" w:sz="0"/>
              <w:left w:val="none" w:color="FFFFFF" w:sz="0"/>
              <w:bottom w:val="none" w:color="FFFFFF" w:sz="0"/>
              <w:right w:val="none" w:color="FFFFFF" w:sz="0"/>
            </w:tcBorders>
            <w:shd w:fill="0D1B2A" w:val="clear"/>
            <w:tcMar>
              <w:top w:type="dxa" w:w="44"/>
              <w:left w:type="dxa" w:w="240"/>
              <w:bottom w:type="dxa" w:w="8"/>
              <w:right w:type="dxa" w:w="240"/>
            </w:tcMar>
          </w:tcPr>
          <w:p>
            <w:pPr>
              <w:jc w:val="center"/>
            </w:pPr>
            <w:r>
              <w:rPr>
                <w:rFonts w:ascii="Times New Roman" w:cs="Times New Roman" w:eastAsia="Times New Roman" w:hAnsi="Times New Roman"/>
                <w:b w:val="false"/>
                <w:bCs w:val="false"/>
                <w:color w:val="0D1B2A"/>
                <w:sz w:val="16"/>
                <w:szCs w:val="16"/>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16"/>
              <w:left w:type="dxa" w:w="240"/>
              <w:bottom w:type="dxa" w:w="6"/>
              <w:right w:type="dxa" w:w="240"/>
            </w:tcMar>
          </w:tcPr>
          <w:p>
            <w:pPr>
              <w:jc w:val="center"/>
            </w:pPr>
            <w:r>
              <w:rPr>
                <w:rFonts w:ascii="Times New Roman" w:cs="Times New Roman" w:eastAsia="Times New Roman" w:hAnsi="Times New Roman"/>
                <w:b/>
                <w:bCs/>
                <w:color w:val="FFFFFF"/>
                <w:sz w:val="34"/>
                <w:szCs w:val="34"/>
              </w:rPr>
              <w:t xml:space="preserve">Quantum Reservoir Computing for Time-Series Intelligence</w:t>
            </w:r>
          </w:p>
        </w:tc>
      </w:tr>
      <w:tr>
        <w:tc>
          <w:tcPr>
            <w:tcW w:type="dxa" w:w="9360"/>
            <w:tcBorders>
              <w:top w:val="none" w:color="FFFFFF" w:sz="0"/>
              <w:left w:val="none" w:color="FFFFFF" w:sz="0"/>
              <w:bottom w:val="none" w:color="FFFFFF" w:sz="0"/>
              <w:right w:val="none" w:color="FFFFFF" w:sz="0"/>
            </w:tcBorders>
            <w:shd w:fill="0D1B2A" w:val="clear"/>
            <w:tcMar>
              <w:top w:type="dxa" w:w="6"/>
              <w:left w:type="dxa" w:w="240"/>
              <w:bottom w:type="dxa" w:w="8"/>
              <w:right w:type="dxa" w:w="240"/>
            </w:tcMar>
          </w:tcPr>
          <w:p>
            <w:pPr>
              <w:jc w:val="center"/>
            </w:pPr>
            <w:r>
              <w:rPr>
                <w:rFonts w:ascii="Times New Roman" w:cs="Times New Roman" w:eastAsia="Times New Roman" w:hAnsi="Times New Roman"/>
                <w:b w:val="false"/>
                <w:bCs w:val="false"/>
                <w:color w:val="AED6F1"/>
                <w:sz w:val="24"/>
                <w:szCs w:val="24"/>
              </w:rPr>
              <w:t xml:space="preserve">Dynamic Systems Forecasting</w:t>
            </w:r>
          </w:p>
        </w:tc>
      </w:tr>
      <w:tr>
        <w:tc>
          <w:tcPr>
            <w:tcW w:type="dxa" w:w="9360"/>
            <w:tcBorders>
              <w:top w:val="none" w:color="FFFFFF" w:sz="0"/>
              <w:left w:val="none" w:color="FFFFFF" w:sz="0"/>
              <w:bottom w:val="none" w:color="FFFFFF" w:sz="0"/>
              <w:right w:val="none" w:color="FFFFFF" w:sz="0"/>
            </w:tcBorders>
            <w:shd w:fill="0D1B2A" w:val="clear"/>
            <w:tcMar>
              <w:top w:type="dxa" w:w="44"/>
              <w:left w:type="dxa" w:w="240"/>
              <w:bottom w:type="dxa" w:w="8"/>
              <w:right w:type="dxa" w:w="240"/>
            </w:tcMar>
          </w:tcPr>
          <w:p>
            <w:pPr>
              <w:jc w:val="center"/>
            </w:pPr>
            <w:r>
              <w:rPr>
                <w:rFonts w:ascii="Times New Roman" w:cs="Times New Roman" w:eastAsia="Times New Roman" w:hAnsi="Times New Roman"/>
                <w:b w:val="false"/>
                <w:bCs w:val="false"/>
                <w:color w:val="0D1B2A"/>
                <w:sz w:val="16"/>
                <w:szCs w:val="16"/>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24"/>
              <w:left w:type="dxa" w:w="240"/>
              <w:bottom w:type="dxa" w:w="5"/>
              <w:right w:type="dxa" w:w="240"/>
            </w:tcMar>
          </w:tcPr>
          <w:p>
            <w:pPr>
              <w:jc w:val="center"/>
            </w:pPr>
            <w:r>
              <w:rPr>
                <w:rFonts w:ascii="Times New Roman" w:cs="Times New Roman" w:eastAsia="Times New Roman" w:hAnsi="Times New Roman"/>
                <w:b/>
                <w:bCs/>
                <w:color w:val="85C1E9"/>
                <w:sz w:val="18"/>
                <w:szCs w:val="18"/>
              </w:rPr>
              <w:t xml:space="preserve">CHALLENGE PROVIDERS</w:t>
            </w:r>
          </w:p>
        </w:tc>
      </w:tr>
      <w:tr>
        <w:tc>
          <w:tcPr>
            <w:tcW w:type="dxa" w:w="9360"/>
            <w:tcBorders>
              <w:top w:val="none" w:color="FFFFFF" w:sz="0"/>
              <w:left w:val="none" w:color="FFFFFF" w:sz="0"/>
              <w:bottom w:val="none" w:color="FFFFFF" w:sz="0"/>
              <w:right w:val="none" w:color="FFFFFF" w:sz="0"/>
            </w:tcBorders>
            <w:shd w:fill="0D1B2A" w:val="clear"/>
            <w:tcMar>
              <w:top w:type="dxa" w:w="5"/>
              <w:left w:type="dxa" w:w="240"/>
              <w:bottom w:type="dxa" w:w="8"/>
              <w:right w:type="dxa" w:w="240"/>
            </w:tcMar>
          </w:tcPr>
          <w:p>
            <w:pPr>
              <w:jc w:val="center"/>
            </w:pPr>
            <w:r>
              <w:rPr>
                <w:rFonts w:ascii="Times New Roman" w:cs="Times New Roman" w:eastAsia="Times New Roman" w:hAnsi="Times New Roman"/>
                <w:b w:val="false"/>
                <w:bCs w:val="false"/>
                <w:color w:val="FFFFFF"/>
                <w:sz w:val="22"/>
                <w:szCs w:val="22"/>
              </w:rPr>
              <w:t xml:space="preserve">qBraid  |  MITRE  |  JonesTrading</w:t>
            </w:r>
          </w:p>
        </w:tc>
      </w:tr>
      <w:tr>
        <w:tc>
          <w:tcPr>
            <w:tcW w:type="dxa" w:w="9360"/>
            <w:tcBorders>
              <w:top w:val="none" w:color="FFFFFF" w:sz="0"/>
              <w:left w:val="none" w:color="FFFFFF" w:sz="0"/>
              <w:bottom w:val="none" w:color="FFFFFF" w:sz="0"/>
              <w:right w:val="none" w:color="FFFFFF" w:sz="0"/>
            </w:tcBorders>
            <w:shd w:fill="0D1B2A" w:val="clear"/>
            <w:tcMar>
              <w:top w:type="dxa" w:w="36"/>
              <w:left w:type="dxa" w:w="240"/>
              <w:bottom w:type="dxa" w:w="8"/>
              <w:right w:type="dxa" w:w="240"/>
            </w:tcMar>
          </w:tcPr>
          <w:p>
            <w:pPr>
              <w:jc w:val="center"/>
            </w:pPr>
            <w:r>
              <w:rPr>
                <w:rFonts w:ascii="Times New Roman" w:cs="Times New Roman" w:eastAsia="Times New Roman" w:hAnsi="Times New Roman"/>
                <w:b w:val="false"/>
                <w:bCs w:val="false"/>
                <w:color w:val="0D1B2A"/>
                <w:sz w:val="16"/>
                <w:szCs w:val="16"/>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24"/>
              <w:left w:type="dxa" w:w="240"/>
              <w:bottom w:type="dxa" w:w="5"/>
              <w:right w:type="dxa" w:w="240"/>
            </w:tcMar>
          </w:tcPr>
          <w:p>
            <w:pPr>
              <w:jc w:val="center"/>
            </w:pPr>
            <w:r>
              <w:rPr>
                <w:rFonts w:ascii="Times New Roman" w:cs="Times New Roman" w:eastAsia="Times New Roman" w:hAnsi="Times New Roman"/>
                <w:b/>
                <w:bCs/>
                <w:color w:val="85C1E9"/>
                <w:sz w:val="18"/>
                <w:szCs w:val="18"/>
              </w:rPr>
              <w:t xml:space="preserve">TRACK</w:t>
            </w:r>
          </w:p>
        </w:tc>
      </w:tr>
      <w:tr>
        <w:tc>
          <w:tcPr>
            <w:tcW w:type="dxa" w:w="9360"/>
            <w:tcBorders>
              <w:top w:val="none" w:color="FFFFFF" w:sz="0"/>
              <w:left w:val="none" w:color="FFFFFF" w:sz="0"/>
              <w:bottom w:val="none" w:color="FFFFFF" w:sz="0"/>
              <w:right w:val="none" w:color="FFFFFF" w:sz="0"/>
            </w:tcBorders>
            <w:shd w:fill="0D1B2A" w:val="clear"/>
            <w:tcMar>
              <w:top w:type="dxa" w:w="5"/>
              <w:left w:type="dxa" w:w="240"/>
              <w:bottom w:type="dxa" w:w="5"/>
              <w:right w:type="dxa" w:w="240"/>
            </w:tcMar>
          </w:tcPr>
          <w:p>
            <w:pPr>
              <w:jc w:val="center"/>
            </w:pPr>
            <w:r>
              <w:rPr>
                <w:rFonts w:ascii="Times New Roman" w:cs="Times New Roman" w:eastAsia="Times New Roman" w:hAnsi="Times New Roman"/>
                <w:b/>
                <w:bCs/>
                <w:color w:val="FFFFFF"/>
                <w:sz w:val="24"/>
                <w:szCs w:val="24"/>
              </w:rPr>
              <w:t xml:space="preserve">Track A: Financial Volatility Prediction</w:t>
            </w:r>
          </w:p>
        </w:tc>
      </w:tr>
      <w:tr>
        <w:tc>
          <w:tcPr>
            <w:tcW w:type="dxa" w:w="9360"/>
            <w:tcBorders>
              <w:top w:val="none" w:color="FFFFFF" w:sz="0"/>
              <w:left w:val="none" w:color="FFFFFF" w:sz="0"/>
              <w:bottom w:val="none" w:color="FFFFFF" w:sz="0"/>
              <w:right w:val="none" w:color="FFFFFF" w:sz="0"/>
            </w:tcBorders>
            <w:shd w:fill="0D1B2A" w:val="clear"/>
            <w:tcMar>
              <w:top w:type="dxa" w:w="4"/>
              <w:left w:type="dxa" w:w="240"/>
              <w:bottom w:type="dxa" w:w="8"/>
              <w:right w:type="dxa" w:w="240"/>
            </w:tcMar>
          </w:tcPr>
          <w:p>
            <w:pPr>
              <w:jc w:val="center"/>
            </w:pPr>
            <w:r>
              <w:rPr>
                <w:rFonts w:ascii="Times New Roman" w:cs="Times New Roman" w:eastAsia="Times New Roman" w:hAnsi="Times New Roman"/>
                <w:b w:val="false"/>
                <w:bCs w:val="false"/>
                <w:color w:val="AED6F1"/>
                <w:sz w:val="20"/>
                <w:szCs w:val="20"/>
              </w:rPr>
              <w:t xml:space="preserve">5-Day-Ahead S&amp;P 500 Realized Volatility Forecasting</w:t>
            </w:r>
          </w:p>
        </w:tc>
      </w:tr>
      <w:tr>
        <w:tc>
          <w:tcPr>
            <w:tcW w:type="dxa" w:w="9360"/>
            <w:tcBorders>
              <w:top w:val="none" w:color="FFFFFF" w:sz="0"/>
              <w:left w:val="none" w:color="FFFFFF" w:sz="0"/>
              <w:bottom w:val="none" w:color="FFFFFF" w:sz="0"/>
              <w:right w:val="none" w:color="FFFFFF" w:sz="0"/>
            </w:tcBorders>
            <w:shd w:fill="0D1B2A" w:val="clear"/>
            <w:tcMar>
              <w:top w:type="dxa" w:w="36"/>
              <w:left w:type="dxa" w:w="240"/>
              <w:bottom w:type="dxa" w:w="8"/>
              <w:right w:type="dxa" w:w="240"/>
            </w:tcMar>
          </w:tcPr>
          <w:p>
            <w:pPr>
              <w:jc w:val="center"/>
            </w:pPr>
            <w:r>
              <w:rPr>
                <w:rFonts w:ascii="Times New Roman" w:cs="Times New Roman" w:eastAsia="Times New Roman" w:hAnsi="Times New Roman"/>
                <w:b w:val="false"/>
                <w:bCs w:val="false"/>
                <w:color w:val="0D1B2A"/>
                <w:sz w:val="16"/>
                <w:szCs w:val="16"/>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24"/>
              <w:left w:type="dxa" w:w="240"/>
              <w:bottom w:type="dxa" w:w="5"/>
              <w:right w:type="dxa" w:w="240"/>
            </w:tcMar>
          </w:tcPr>
          <w:p>
            <w:pPr>
              <w:jc w:val="center"/>
            </w:pPr>
            <w:r>
              <w:rPr>
                <w:rFonts w:ascii="Times New Roman" w:cs="Times New Roman" w:eastAsia="Times New Roman" w:hAnsi="Times New Roman"/>
                <w:b/>
                <w:bCs/>
                <w:color w:val="85C1E9"/>
                <w:sz w:val="18"/>
                <w:szCs w:val="18"/>
              </w:rPr>
              <w:t xml:space="preserve">QUANTUM PLATFORM</w:t>
            </w:r>
          </w:p>
        </w:tc>
      </w:tr>
      <w:tr>
        <w:tc>
          <w:tcPr>
            <w:tcW w:type="dxa" w:w="9360"/>
            <w:tcBorders>
              <w:top w:val="none" w:color="FFFFFF" w:sz="0"/>
              <w:left w:val="none" w:color="FFFFFF" w:sz="0"/>
              <w:bottom w:val="none" w:color="FFFFFF" w:sz="0"/>
              <w:right w:val="none" w:color="FFFFFF" w:sz="0"/>
            </w:tcBorders>
            <w:shd w:fill="0D1B2A" w:val="clear"/>
            <w:tcMar>
              <w:top w:type="dxa" w:w="5"/>
              <w:left w:type="dxa" w:w="240"/>
              <w:bottom w:type="dxa" w:w="8"/>
              <w:right w:type="dxa" w:w="240"/>
            </w:tcMar>
          </w:tcPr>
          <w:p>
            <w:pPr>
              <w:jc w:val="center"/>
            </w:pPr>
            <w:r>
              <w:rPr>
                <w:rFonts w:ascii="Times New Roman" w:cs="Times New Roman" w:eastAsia="Times New Roman" w:hAnsi="Times New Roman"/>
                <w:b w:val="false"/>
                <w:bCs w:val="false"/>
                <w:color w:val="FFFFFF"/>
                <w:sz w:val="22"/>
                <w:szCs w:val="22"/>
              </w:rPr>
              <w:t xml:space="preserve">Primary: qBraid  |  QPU Validation: IBM Quantum (ibm_fez)</w:t>
            </w:r>
          </w:p>
        </w:tc>
      </w:tr>
      <w:tr>
        <w:tc>
          <w:tcPr>
            <w:tcW w:type="dxa" w:w="9360"/>
            <w:tcBorders>
              <w:top w:val="none" w:color="FFFFFF" w:sz="0"/>
              <w:left w:val="none" w:color="FFFFFF" w:sz="0"/>
              <w:bottom w:val="none" w:color="FFFFFF" w:sz="0"/>
              <w:right w:val="none" w:color="FFFFFF" w:sz="0"/>
            </w:tcBorders>
            <w:shd w:fill="0D1B2A" w:val="clear"/>
            <w:tcMar>
              <w:top w:type="dxa" w:w="36"/>
              <w:left w:type="dxa" w:w="240"/>
              <w:bottom w:type="dxa" w:w="8"/>
              <w:right w:type="dxa" w:w="240"/>
            </w:tcMar>
          </w:tcPr>
          <w:p>
            <w:pPr>
              <w:jc w:val="center"/>
            </w:pPr>
            <w:r>
              <w:rPr>
                <w:rFonts w:ascii="Times New Roman" w:cs="Times New Roman" w:eastAsia="Times New Roman" w:hAnsi="Times New Roman"/>
                <w:b w:val="false"/>
                <w:bCs w:val="false"/>
                <w:color w:val="0D1B2A"/>
                <w:sz w:val="16"/>
                <w:szCs w:val="16"/>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24"/>
              <w:left w:type="dxa" w:w="240"/>
              <w:bottom w:type="dxa" w:w="5"/>
              <w:right w:type="dxa" w:w="240"/>
            </w:tcMar>
          </w:tcPr>
          <w:p>
            <w:pPr>
              <w:jc w:val="center"/>
            </w:pPr>
            <w:r>
              <w:rPr>
                <w:rFonts w:ascii="Times New Roman" w:cs="Times New Roman" w:eastAsia="Times New Roman" w:hAnsi="Times New Roman"/>
                <w:b/>
                <w:bCs/>
                <w:color w:val="85C1E9"/>
                <w:sz w:val="18"/>
                <w:szCs w:val="18"/>
              </w:rPr>
              <w:t xml:space="preserve">SUBMISSION</w:t>
            </w:r>
          </w:p>
        </w:tc>
      </w:tr>
      <w:tr>
        <w:tc>
          <w:tcPr>
            <w:tcW w:type="dxa" w:w="9360"/>
            <w:tcBorders>
              <w:top w:val="none" w:color="FFFFFF" w:sz="0"/>
              <w:left w:val="none" w:color="FFFFFF" w:sz="0"/>
              <w:bottom w:val="none" w:color="FFFFFF" w:sz="0"/>
              <w:right w:val="none" w:color="FFFFFF" w:sz="0"/>
            </w:tcBorders>
            <w:shd w:fill="0D1B2A" w:val="clear"/>
            <w:tcMar>
              <w:top w:type="dxa" w:w="5"/>
              <w:left w:type="dxa" w:w="240"/>
              <w:bottom w:type="dxa" w:w="8"/>
              <w:right w:type="dxa" w:w="240"/>
            </w:tcMar>
          </w:tcPr>
          <w:p>
            <w:pPr>
              <w:jc w:val="center"/>
            </w:pPr>
            <w:r>
              <w:rPr>
                <w:rFonts w:ascii="Times New Roman" w:cs="Times New Roman" w:eastAsia="Times New Roman" w:hAnsi="Times New Roman"/>
                <w:b w:val="false"/>
                <w:bCs w:val="false"/>
                <w:color w:val="FFFFFF"/>
                <w:sz w:val="22"/>
                <w:szCs w:val="22"/>
              </w:rPr>
              <w:t xml:space="preserve">Phase 3  |  Version 2  |  Deadline: July 26, 2026</w:t>
            </w:r>
          </w:p>
        </w:tc>
      </w:tr>
      <w:tr>
        <w:tc>
          <w:tcPr>
            <w:tcW w:type="dxa" w:w="9360"/>
            <w:tcBorders>
              <w:top w:val="none" w:color="FFFFFF" w:sz="0"/>
              <w:left w:val="none" w:color="FFFFFF" w:sz="0"/>
              <w:bottom w:val="none" w:color="FFFFFF" w:sz="0"/>
              <w:right w:val="none" w:color="FFFFFF" w:sz="0"/>
            </w:tcBorders>
            <w:shd w:fill="0D1B2A" w:val="clear"/>
            <w:tcMar>
              <w:top w:type="dxa" w:w="44"/>
              <w:left w:type="dxa" w:w="240"/>
              <w:bottom w:type="dxa" w:w="8"/>
              <w:right w:type="dxa" w:w="240"/>
            </w:tcMar>
          </w:tcPr>
          <w:p>
            <w:pPr>
              <w:jc w:val="center"/>
            </w:pPr>
            <w:r>
              <w:rPr>
                <w:rFonts w:ascii="Times New Roman" w:cs="Times New Roman" w:eastAsia="Times New Roman" w:hAnsi="Times New Roman"/>
                <w:b w:val="false"/>
                <w:bCs w:val="false"/>
                <w:color w:val="0D1B2A"/>
                <w:sz w:val="16"/>
                <w:szCs w:val="16"/>
              </w:rPr>
              <w:t xml:space="preserve"/>
            </w:r>
          </w:p>
        </w:tc>
      </w:tr>
      <w:tr>
        <w:tc>
          <w:tcPr>
            <w:tcW w:type="dxa" w:w="9360"/>
            <w:tcBorders>
              <w:top w:val="none" w:color="FFFFFF" w:sz="0"/>
              <w:left w:val="none" w:color="FFFFFF" w:sz="0"/>
              <w:bottom w:val="none" w:color="FFFFFF" w:sz="0"/>
              <w:right w:val="none" w:color="FFFFFF" w:sz="0"/>
            </w:tcBorders>
            <w:shd w:fill="0D1B2A" w:val="clear"/>
            <w:tcMar>
              <w:top w:type="dxa" w:w="44"/>
              <w:left w:type="dxa" w:w="240"/>
              <w:bottom w:type="dxa" w:w="5"/>
              <w:right w:type="dxa" w:w="240"/>
            </w:tcMar>
          </w:tcPr>
          <w:p>
            <w:pPr>
              <w:jc w:val="center"/>
            </w:pPr>
            <w:r>
              <w:rPr>
                <w:rFonts w:ascii="Times New Roman" w:cs="Times New Roman" w:eastAsia="Times New Roman" w:hAnsi="Times New Roman"/>
                <w:b/>
                <w:bCs/>
                <w:color w:val="FFFFFF"/>
                <w:sz w:val="30"/>
                <w:szCs w:val="30"/>
              </w:rPr>
              <w:t xml:space="preserve">Team: Qudit Creons</w:t>
            </w:r>
          </w:p>
        </w:tc>
      </w:tr>
      <w:tr>
        <w:tc>
          <w:tcPr>
            <w:tcW w:type="dxa" w:w="9360"/>
            <w:tcBorders>
              <w:top w:val="none" w:color="FFFFFF" w:sz="0"/>
              <w:left w:val="none" w:color="FFFFFF" w:sz="0"/>
              <w:bottom w:val="none" w:color="FFFFFF" w:sz="0"/>
              <w:right w:val="none" w:color="FFFFFF" w:sz="0"/>
            </w:tcBorders>
            <w:shd w:fill="0D1B2A" w:val="clear"/>
            <w:tcMar>
              <w:top w:type="dxa" w:w="4"/>
              <w:left w:type="dxa" w:w="240"/>
              <w:bottom w:type="dxa" w:w="8"/>
              <w:right w:type="dxa" w:w="240"/>
            </w:tcMar>
          </w:tcPr>
          <w:p>
            <w:pPr>
              <w:jc w:val="center"/>
            </w:pPr>
            <w:r>
              <w:rPr>
                <w:rFonts w:ascii="Times New Roman" w:cs="Times New Roman" w:eastAsia="Times New Roman" w:hAnsi="Times New Roman"/>
                <w:b w:val="false"/>
                <w:bCs w:val="false"/>
                <w:color w:val="AED6F1"/>
                <w:sz w:val="20"/>
                <w:szCs w:val="20"/>
              </w:rPr>
              <w:t xml:space="preserve">Aqora: @qyngshuq  |  Contact: kvt057@gmail.com</w:t>
            </w:r>
          </w:p>
        </w:tc>
      </w:tr>
      <w:tr>
        <w:tc>
          <w:tcPr>
            <w:tcW w:type="dxa" w:w="9360"/>
            <w:tcBorders>
              <w:top w:val="none" w:color="FFFFFF" w:sz="0"/>
              <w:left w:val="none" w:color="FFFFFF" w:sz="0"/>
              <w:bottom w:val="none" w:color="FFFFFF" w:sz="0"/>
              <w:right w:val="none" w:color="FFFFFF" w:sz="0"/>
            </w:tcBorders>
            <w:shd w:fill="0D1B2A" w:val="clear"/>
            <w:tcMar>
              <w:top w:type="dxa" w:w="8"/>
              <w:left w:type="dxa" w:w="240"/>
              <w:bottom w:type="dxa" w:w="8"/>
              <w:right w:type="dxa" w:w="240"/>
            </w:tcMar>
          </w:tcPr>
          <w:p>
            <w:pPr>
              <w:jc w:val="center"/>
            </w:pPr>
            <w:r>
              <w:rPr>
                <w:rFonts w:ascii="Times New Roman" w:cs="Times New Roman" w:eastAsia="Times New Roman" w:hAnsi="Times New Roman"/>
                <w:b w:val="false"/>
                <w:bCs w:val="false"/>
                <w:color w:val="85C1E9"/>
                <w:sz w:val="18"/>
                <w:szCs w:val="18"/>
              </w:rPr>
              <w:t xml:space="preserve">Fill member details in official GIC Phase 3 Cover Page template</w:t>
            </w:r>
          </w:p>
        </w:tc>
      </w:tr>
      <w:tr>
        <w:tc>
          <w:tcPr>
            <w:tcW w:type="dxa" w:w="9360"/>
            <w:tcBorders>
              <w:top w:val="none" w:color="FFFFFF" w:sz="0"/>
              <w:left w:val="none" w:color="FFFFFF" w:sz="0"/>
              <w:bottom w:val="none" w:color="FFFFFF" w:sz="0"/>
              <w:right w:val="none" w:color="FFFFFF" w:sz="0"/>
            </w:tcBorders>
            <w:shd w:fill="0D1B2A" w:val="clear"/>
            <w:tcMar>
              <w:top w:type="dxa" w:w="160"/>
              <w:left w:type="dxa" w:w="240"/>
              <w:bottom w:type="dxa" w:w="8"/>
              <w:right w:type="dxa" w:w="240"/>
            </w:tcMar>
          </w:tcPr>
          <w:p>
            <w:pPr>
              <w:jc w:val="center"/>
            </w:pPr>
            <w:r>
              <w:rPr>
                <w:rFonts w:ascii="Times New Roman" w:cs="Times New Roman" w:eastAsia="Times New Roman" w:hAnsi="Times New Roman"/>
                <w:b w:val="false"/>
                <w:bCs w:val="false"/>
                <w:color w:val="0D1B2A"/>
                <w:sz w:val="22"/>
                <w:szCs w:val="22"/>
              </w:rPr>
              <w:t xml:space="preserve"/>
            </w:r>
          </w:p>
        </w:tc>
      </w:tr>
    </w:tbl>
    <w:p>
      <w:r>
        <w:br w:type="page"/>
      </w:r>
    </w:p>
    <w:p>
      <w:pPr>
        <w:sectPr>
          <w:pgSz w:w="12240" w:h="15840" w:orient="portrait"/>
          <w:pgMar w:top="1008" w:right="1440" w:bottom="1008" w:left="1440" w:header="708" w:footer="708" w:gutter="0"/>
          <w:pgNumType/>
          <w:docGrid w:linePitch="360"/>
        </w:sectPr>
      </w:pPr>
    </w:p>
    <w:p>
      <w:pPr>
        <w:pBdr>
          <w:bottom w:val="single" w:color="2E86AB" w:sz="6" w:space="1"/>
        </w:pBdr>
        <w:spacing w:after="50" w:before="140"/>
      </w:pPr>
      <w:r>
        <w:rPr>
          <w:rFonts w:ascii="Times New Roman" w:cs="Times New Roman" w:eastAsia="Times New Roman" w:hAnsi="Times New Roman"/>
          <w:b/>
          <w:bCs/>
          <w:color w:val="1B4F72"/>
          <w:sz w:val="24"/>
          <w:szCs w:val="24"/>
        </w:rPr>
        <w:t xml:space="preserve">1.  Problem Framing and Approach</w:t>
      </w:r>
    </w:p>
    <w:p>
      <w:pPr>
        <w:spacing w:after="72" w:before="36"/>
        <w:jc w:val="both"/>
      </w:pPr>
      <w:r>
        <w:rPr>
          <w:rFonts w:ascii="Times New Roman" w:cs="Times New Roman" w:eastAsia="Times New Roman" w:hAnsi="Times New Roman"/>
          <w:b/>
          <w:bCs/>
          <w:color w:val="1A1A2E"/>
          <w:sz w:val="22"/>
          <w:szCs w:val="22"/>
        </w:rPr>
        <w:t xml:space="preserve">Problem.  </w:t>
      </w:r>
      <w:r>
        <w:rPr>
          <w:rFonts w:ascii="Times New Roman" w:cs="Times New Roman" w:eastAsia="Times New Roman" w:hAnsi="Times New Roman"/>
          <w:color w:val="1A1A2E"/>
          <w:sz w:val="22"/>
          <w:szCs w:val="22"/>
        </w:rPr>
        <w:t xml:space="preserve">We address Track A: 5-day-ahead S&amp;P 500 realized volatility (RV) forecasting using the Oxford-Man Institute Realized Volatility Library (OMI-RV, SPX2.rv series). The dataset spans January 3, 2000 to September 26, 2016 (4,181 observations). This window captures multiple genuine volatility regime shifts, including the August 2015 China deval selloff and the January 2016 global equity selloff, providing a real stress-test for regime-shift detection despite not extending to more recent years.</w:t>
      </w:r>
    </w:p>
    <w:p>
      <w:pPr>
        <w:spacing w:after="72" w:before="36"/>
        <w:jc w:val="both"/>
      </w:pPr>
      <w:r>
        <w:rPr>
          <w:rFonts w:ascii="Times New Roman" w:cs="Times New Roman" w:eastAsia="Times New Roman" w:hAnsi="Times New Roman"/>
          <w:b/>
          <w:bCs/>
          <w:color w:val="1A1A2E"/>
          <w:sz w:val="22"/>
          <w:szCs w:val="22"/>
        </w:rPr>
        <w:t xml:space="preserve">Why QRC.  </w:t>
      </w:r>
      <w:r>
        <w:rPr>
          <w:rFonts w:ascii="Times New Roman" w:cs="Times New Roman" w:eastAsia="Times New Roman" w:hAnsi="Times New Roman"/>
          <w:color w:val="1A1A2E"/>
          <w:sz w:val="22"/>
          <w:szCs w:val="22"/>
        </w:rPr>
        <w:t xml:space="preserve">QRC requires no gradient-based optimisation of the quantum layer — only a ridge-regression readout is trained. This eliminates barren-plateau issues and makes the architecture directly executable on NISQ hardware. Li et al. (2025) demonstrated QRC on S&amp;P 500 realized volatility achieving competitive results against HAR; our HF-QRC extends this with a feedback loop and two-body correlator observables.</w:t>
      </w:r>
    </w:p>
    <w:p>
      <w:pPr>
        <w:spacing w:after="72" w:before="36"/>
        <w:jc w:val="both"/>
      </w:pPr>
      <w:r>
        <w:rPr>
          <w:rFonts w:ascii="Times New Roman" w:cs="Times New Roman" w:eastAsia="Times New Roman" w:hAnsi="Times New Roman"/>
          <w:b/>
          <w:bCs/>
          <w:color w:val="1A1A2E"/>
          <w:sz w:val="22"/>
          <w:szCs w:val="22"/>
        </w:rPr>
        <w:t xml:space="preserve">Honest summary of results.  </w:t>
      </w:r>
      <w:r>
        <w:rPr>
          <w:rFonts w:ascii="Times New Roman" w:cs="Times New Roman" w:eastAsia="Times New Roman" w:hAnsi="Times New Roman"/>
          <w:color w:val="1A1A2E"/>
          <w:sz w:val="22"/>
          <w:szCs w:val="22"/>
        </w:rPr>
        <w:t xml:space="preserve">On the full test set (n=437, Jan 2015–Sep 2016), HF-QRC (N=8) achieves RMSE=0.9301, statistically comparable to HAR (0.9203) and HAR-J (0.9214), and decisively better than GARCH(1,1) and Persistence (both 1.0975, a 15–18% improvement). ESN-50/100 slightly outperform HF-QRC on this metric. We report this evenhandedly: QRC is competitive with strong classical baselines here, not uniformly superior, and we detail exactly where and why below.</w:t>
      </w:r>
    </w:p>
    <w:p>
      <w:pPr>
        <w:pBdr>
          <w:bottom w:val="single" w:color="2E86AB" w:sz="6" w:space="1"/>
        </w:pBdr>
        <w:spacing w:after="50" w:before="140"/>
      </w:pPr>
      <w:r>
        <w:rPr>
          <w:rFonts w:ascii="Times New Roman" w:cs="Times New Roman" w:eastAsia="Times New Roman" w:hAnsi="Times New Roman"/>
          <w:b/>
          <w:bCs/>
          <w:color w:val="1B4F72"/>
          <w:sz w:val="24"/>
          <w:szCs w:val="24"/>
        </w:rPr>
        <w:t xml:space="preserve">2.  QRC Architecture</w:t>
      </w:r>
    </w:p>
    <w:p>
      <w:pPr>
        <w:spacing w:after="72" w:before="36"/>
        <w:jc w:val="both"/>
      </w:pPr>
      <w:r>
        <w:rPr>
          <w:rFonts w:ascii="Times New Roman" w:cs="Times New Roman" w:eastAsia="Times New Roman" w:hAnsi="Times New Roman"/>
          <w:color w:val="1A1A2E"/>
          <w:sz w:val="22"/>
          <w:szCs w:val="22"/>
        </w:rPr>
        <w:t xml:space="preserve">Our HF-QRC integrates five components. The reservoir Hamiltonian is a fully-connected Transverse-Field Ising Model (TFIM):</w:t>
      </w:r>
    </w:p>
    <w:p>
      <w:pPr>
        <w:spacing w:after="30" w:before="30"/>
        <w:jc w:val="center"/>
      </w:pPr>
      <w:r>
        <w:rPr>
          <w:rFonts w:ascii="Times New Roman" w:cs="Times New Roman" w:eastAsia="Times New Roman" w:hAnsi="Times New Roman"/>
          <w:b/>
          <w:bCs/>
          <w:color w:val="1B4F72"/>
          <w:sz w:val="24"/>
          <w:szCs w:val="24"/>
        </w:rPr>
        <w:t xml:space="preserve">H = -Σᵢ&lt;ⱼ Jᵢⱼ σᵢᵣ σⱼᵣ  -  h Σᵢ σᵢˣ</w:t>
      </w:r>
    </w:p>
    <w:p>
      <w:pPr>
        <w:spacing w:after="72" w:before="36"/>
        <w:jc w:val="both"/>
      </w:pPr>
      <w:r>
        <w:rPr>
          <w:rFonts w:ascii="Times New Roman" w:cs="Times New Roman" w:eastAsia="Times New Roman" w:hAnsi="Times New Roman"/>
          <w:color w:val="1A1A2E"/>
          <w:sz w:val="22"/>
          <w:szCs w:val="22"/>
        </w:rPr>
        <w:t xml:space="preserve">Coupling Jᵢⱼ∼N(0,1)/√N (normalised to prevent chaotic scrambling of the encoded input), fixed at initialisation. Transverse field h=0.5. Circuit depth scales as ~3N gates per reservoir step, confirmed empirically at N=5,8,10,15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3560"/>
        <w:gridCol w:w="4280"/>
      </w:tblGrid>
      <w:tr>
        <w:trPr>
          <w:tblHeader/>
        </w:trPr>
        <w:tc>
          <w:tcPr>
            <w:tcW w:type="dxa" w:w="152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356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Design</w:t>
            </w:r>
          </w:p>
        </w:tc>
        <w:tc>
          <w:tcPr>
            <w:tcW w:type="dxa" w:w="42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r>
      <w:tr>
        <w:tc>
          <w:tcPr>
            <w:tcW w:type="dxa" w:w="152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Input Encoding</w:t>
            </w:r>
          </w:p>
        </w:tc>
        <w:tc>
          <w:tcPr>
            <w:tcW w:type="dxa" w:w="356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Ry(π·tanh(z)) where z is the globally-standardised log-RV lag (train-set mean/std, no leakage); T=8 temporal steps encoding the most recent 8 of 22 lags.</w:t>
            </w:r>
          </w:p>
        </w:tc>
        <w:tc>
          <w:tcPr>
            <w:tcW w:type="dxa" w:w="42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Global standardisation preserves absolute volatility level (critical predictive signal) while avoiding tanh saturation. Encoding recent lags (not oldest) was essential — an early implementation bug encoding the oldest 8 of 22 lags produced RMSE 1.29 (worse than all baselines); fixing this brought RMSE to 0.93, competitive with HAR.</w:t>
            </w:r>
          </w:p>
        </w:tc>
      </w:tr>
      <w:tr>
        <w:tc>
          <w:tcPr>
            <w:tcW w:type="dxa" w:w="152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Observables</w:t>
            </w:r>
          </w:p>
        </w:tc>
        <w:tc>
          <w:tcPr>
            <w:tcW w:type="dxa" w:w="356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N single-qubit ⟨σᵣᵢ⟩ + N(N-1)/2 two-body ⟨σᵣᵢσᵣⱼ⟩ = 36 features at N=8.</w:t>
            </w:r>
          </w:p>
        </w:tc>
        <w:tc>
          <w:tcPr>
            <w:tcW w:type="dxa" w:w="42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Two-body correlators capture cross-lag interactions analogous to HAR-J jump terms.</w:t>
            </w:r>
          </w:p>
        </w:tc>
      </w:tr>
      <w:tr>
        <w:tc>
          <w:tcPr>
            <w:tcW w:type="dxa" w:w="152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Feedback</w:t>
            </w:r>
          </w:p>
        </w:tc>
        <w:tc>
          <w:tcPr>
            <w:tcW w:type="dxa" w:w="356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Scaled readout yₜ re-injected as Ry(π·tanh(β·yₜ)) on qubit N-1; β=0.1.</w:t>
            </w:r>
          </w:p>
        </w:tc>
        <w:tc>
          <w:tcPr>
            <w:tcW w:type="dxa" w:w="42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Restores fading memory (Zhu et al. 2025).</w:t>
            </w:r>
          </w:p>
        </w:tc>
      </w:tr>
      <w:tr>
        <w:tc>
          <w:tcPr>
            <w:tcW w:type="dxa" w:w="152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Readout</w:t>
            </w:r>
          </w:p>
        </w:tc>
        <w:tc>
          <w:tcPr>
            <w:tcW w:type="dxa" w:w="356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Degree-2 polynomial expansion; ridge regression, λ selected by RidgeCV.</w:t>
            </w:r>
          </w:p>
        </w:tc>
        <w:tc>
          <w:tcPr>
            <w:tcW w:type="dxa" w:w="42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Adds nonlinear features at zero qubit cost.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8"/>
              <w:bottom w:val="single" w:color="2E86AB" w:sz="8"/>
              <w:right w:val="single" w:color="2E86AB" w:sz="8"/>
            </w:tcBorders>
            <w:shd w:fill="F4F8FB" w:val="clear"/>
            <w:tcMar>
              <w:top w:type="dxa" w:w="70"/>
              <w:left w:type="dxa" w:w="180"/>
              <w:bottom w:type="dxa" w:w="70"/>
              <w:right w:type="dxa" w:w="180"/>
            </w:tcMar>
          </w:tcPr>
          <w:p>
            <w:pPr>
              <w:spacing w:after="4" w:before="8"/>
              <w:jc w:val="center"/>
            </w:pPr>
            <w:r>
              <w:rPr>
                <w:rFonts w:ascii="Courier New" w:cs="Courier New" w:eastAsia="Courier New" w:hAnsi="Courier New"/>
                <w:b/>
                <w:bCs/>
                <w:color w:val="1B4F72"/>
                <w:sz w:val="20"/>
                <w:szCs w:val="20"/>
              </w:rPr>
              <w:t xml:space="preserve">INPUT  z_lag  [standardised log-RV, most recent 8 lags]</w:t>
            </w:r>
          </w:p>
          <w:p>
            <w:pPr>
              <w:spacing w:after="0" w:before="0"/>
              <w:jc w:val="center"/>
            </w:pPr>
            <w:r>
              <w:rPr>
                <w:rFonts w:ascii="Courier New" w:cs="Courier New" w:eastAsia="Courier New" w:hAnsi="Courier New"/>
                <w:color w:val="1A1A2E"/>
                <w:sz w:val="18"/>
                <w:szCs w:val="18"/>
              </w:rPr>
              <w:t xml:space="preserve">     | Ry(π·tanh(z))  |  T=8 temporal steps</w:t>
            </w:r>
          </w:p>
          <w:p>
            <w:pPr>
              <w:spacing w:after="0" w:before="0"/>
              <w:jc w:val="center"/>
            </w:pPr>
            <w:r>
              <w:rPr>
                <w:rFonts w:ascii="Courier New" w:cs="Courier New" w:eastAsia="Courier New" w:hAnsi="Courier New"/>
                <w:color w:val="1B4F72"/>
                <w:sz w:val="18"/>
                <w:szCs w:val="18"/>
              </w:rPr>
              <w:t xml:space="preserve">┌──────────────────────────────────────┐</w:t>
            </w:r>
          </w:p>
          <w:p>
            <w:pPr>
              <w:spacing w:after="0" w:before="0"/>
              <w:jc w:val="center"/>
            </w:pPr>
            <w:r>
              <w:rPr>
                <w:rFonts w:ascii="Courier New" w:cs="Courier New" w:eastAsia="Courier New" w:hAnsi="Courier New"/>
                <w:color w:val="1B4F72"/>
                <w:sz w:val="18"/>
                <w:szCs w:val="18"/>
              </w:rPr>
              <w:t xml:space="preserve">│  TFIM  H = -ΣJᵢⱼσᵣᵢσᵣⱼ - hΣσˣᵢ  |  N=8 qubits              │</w:t>
            </w:r>
          </w:p>
          <w:p>
            <w:pPr>
              <w:spacing w:after="0" w:before="0"/>
              <w:jc w:val="center"/>
            </w:pPr>
            <w:r>
              <w:rPr>
                <w:rFonts w:ascii="Courier New" w:cs="Courier New" w:eastAsia="Courier New" w:hAnsi="Courier New"/>
                <w:color w:val="1B4F72"/>
                <w:sz w:val="18"/>
                <w:szCs w:val="18"/>
              </w:rPr>
              <w:t xml:space="preserve">└──────────────────────────────────────┘</w:t>
            </w:r>
          </w:p>
          <w:p>
            <w:pPr>
              <w:spacing w:after="6" w:before="0"/>
              <w:jc w:val="center"/>
            </w:pPr>
            <w:r>
              <w:rPr>
                <w:rFonts w:ascii="Courier New" w:cs="Courier New" w:eastAsia="Courier New" w:hAnsi="Courier New"/>
                <w:b/>
                <w:bCs/>
                <w:color w:val="1B4F72"/>
                <w:sz w:val="20"/>
                <w:szCs w:val="20"/>
              </w:rPr>
              <w:t xml:space="preserve">  Feedback ← β·yₜ          RIDGE REGRESSION → RV̂ₜ₊₅</w:t>
            </w:r>
          </w:p>
        </w:tc>
      </w:tr>
    </w:tbl>
    <w:p>
      <w:pPr>
        <w:spacing w:after="14" w:before="14"/>
      </w:pPr>
      <w:r>
        <w:rPr>
          <w:rFonts w:ascii="Times New Roman" w:cs="Times New Roman" w:eastAsia="Times New Roman" w:hAnsi="Times New Roman"/>
          <w:i/>
          <w:iCs/>
          <w:color w:val="556677"/>
          <w:sz w:val="18"/>
          <w:szCs w:val="18"/>
        </w:rPr>
        <w:t xml:space="preserve">Figure 1. HF-QRC schematic.</w:t>
      </w:r>
    </w:p>
    <w:p>
      <w:pPr>
        <w:spacing w:before="60"/>
      </w:pPr>
    </w:p>
    <w:p>
      <w:pPr>
        <w:pBdr>
          <w:bottom w:val="single" w:color="2E86AB" w:sz="6" w:space="1"/>
        </w:pBdr>
        <w:spacing w:after="50" w:before="140"/>
      </w:pPr>
      <w:r>
        <w:rPr>
          <w:rFonts w:ascii="Times New Roman" w:cs="Times New Roman" w:eastAsia="Times New Roman" w:hAnsi="Times New Roman"/>
          <w:b/>
          <w:bCs/>
          <w:color w:val="1B4F72"/>
          <w:sz w:val="24"/>
          <w:szCs w:val="24"/>
        </w:rPr>
        <w:t xml:space="preserve">3.  Data Modeling Strategy</w:t>
      </w:r>
    </w:p>
    <w:p>
      <w:pPr>
        <w:spacing w:after="36" w:before="90"/>
      </w:pPr>
      <w:r>
        <w:rPr>
          <w:rFonts w:ascii="Times New Roman" w:cs="Times New Roman" w:eastAsia="Times New Roman" w:hAnsi="Times New Roman"/>
          <w:b/>
          <w:bCs/>
          <w:color w:val="1B4F72"/>
          <w:sz w:val="22"/>
          <w:szCs w:val="22"/>
        </w:rPr>
        <w:t xml:space="preserve">3.1  Dataset</w:t>
      </w:r>
    </w:p>
    <w:p>
      <w:pPr>
        <w:spacing w:after="72" w:before="36"/>
        <w:jc w:val="both"/>
      </w:pPr>
      <w:r>
        <w:rPr>
          <w:rFonts w:ascii="Times New Roman" w:cs="Times New Roman" w:eastAsia="Times New Roman" w:hAnsi="Times New Roman"/>
          <w:b/>
          <w:bCs/>
          <w:color w:val="1A1A2E"/>
          <w:sz w:val="22"/>
          <w:szCs w:val="22"/>
        </w:rPr>
        <w:t xml:space="preserve">OMI-RV (SPX2.rv):  </w:t>
      </w:r>
      <w:r>
        <w:rPr>
          <w:rFonts w:ascii="Times New Roman" w:cs="Times New Roman" w:eastAsia="Times New Roman" w:hAnsi="Times New Roman"/>
          <w:color w:val="1A1A2E"/>
          <w:sz w:val="22"/>
          <w:szCs w:val="22"/>
        </w:rPr>
        <w:t xml:space="preserve">Daily realized variance for S&amp;P 500, Jan 3, 2000–Sep 26, 2016 (4,181 obs). Target: log(RV</w:t>
      </w:r>
      <w:r>
        <w:rPr>
          <w:rFonts w:ascii="Times New Roman" w:cs="Times New Roman" w:eastAsia="Times New Roman" w:hAnsi="Times New Roman"/>
          <w:color w:val="1A1A2E"/>
          <w:sz w:val="22"/>
          <w:szCs w:val="22"/>
          <w:vertAlign w:val="subscript"/>
        </w:rPr>
        <w:t xml:space="preserve">t+5</w:t>
      </w:r>
      <w:r>
        <w:rPr>
          <w:rFonts w:ascii="Times New Roman" w:cs="Times New Roman" w:eastAsia="Times New Roman" w:hAnsi="Times New Roman"/>
          <w:color w:val="1A1A2E"/>
          <w:sz w:val="22"/>
          <w:szCs w:val="22"/>
        </w:rPr>
        <w:t xml:space="preserve">). Train: Jan 2000–Dec 2012 (3,213 samples). Validation: Jan 2013–Dec 2014 (504 samples, used for h, T, β, λ selection). Test: Jan 2015–Sep 2016 (437 samples, strictly held out).</w:t>
      </w:r>
    </w:p>
    <w:p>
      <w:pPr>
        <w:spacing w:after="36" w:before="90"/>
      </w:pPr>
      <w:r>
        <w:rPr>
          <w:rFonts w:ascii="Times New Roman" w:cs="Times New Roman" w:eastAsia="Times New Roman" w:hAnsi="Times New Roman"/>
          <w:b/>
          <w:bCs/>
          <w:color w:val="1B4F72"/>
          <w:sz w:val="22"/>
          <w:szCs w:val="22"/>
        </w:rPr>
        <w:t xml:space="preserve">3.2  Classical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80"/>
        <w:gridCol w:w="3680"/>
      </w:tblGrid>
      <w:tr>
        <w:trPr>
          <w:tblHeader/>
        </w:trPr>
        <w:tc>
          <w:tcPr>
            <w:tcW w:type="dxa" w:w="19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Baseline</w:t>
            </w:r>
          </w:p>
        </w:tc>
        <w:tc>
          <w:tcPr>
            <w:tcW w:type="dxa" w:w="37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36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Why included</w:t>
            </w:r>
          </w:p>
        </w:tc>
      </w:tr>
      <w:tr>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GARCH(1,1)</w:t>
            </w:r>
          </w:p>
        </w:tc>
        <w:tc>
          <w:tcPr>
            <w:tcW w:type="dxa" w:w="37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Bollerslev (1986).</w:t>
            </w:r>
          </w:p>
        </w:tc>
        <w:tc>
          <w:tcPr>
            <w:tcW w:type="dxa" w:w="3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Standard econometric lower bound.</w:t>
            </w:r>
          </w:p>
        </w:tc>
      </w:tr>
      <w:tr>
        <w:tc>
          <w:tcPr>
            <w:tcW w:type="dxa" w:w="19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HAR</w:t>
            </w:r>
          </w:p>
        </w:tc>
        <w:tc>
          <w:tcPr>
            <w:tcW w:type="dxa" w:w="37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Corsi (2009); 1d/5d/22d RV via OLS.</w:t>
            </w:r>
          </w:p>
        </w:tc>
        <w:tc>
          <w:tcPr>
            <w:tcW w:type="dxa" w:w="36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Primary bar for RV forecasting.</w:t>
            </w:r>
          </w:p>
        </w:tc>
      </w:tr>
      <w:tr>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HAR-J</w:t>
            </w:r>
          </w:p>
        </w:tc>
        <w:tc>
          <w:tcPr>
            <w:tcW w:type="dxa" w:w="37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HAR + jump proxy.</w:t>
            </w:r>
          </w:p>
        </w:tc>
        <w:tc>
          <w:tcPr>
            <w:tcW w:type="dxa" w:w="3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Tests jump-capture ability.</w:t>
            </w:r>
          </w:p>
        </w:tc>
      </w:tr>
      <w:tr>
        <w:tc>
          <w:tcPr>
            <w:tcW w:type="dxa" w:w="19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ESN-50 / ESN-100</w:t>
            </w:r>
          </w:p>
        </w:tc>
        <w:tc>
          <w:tcPr>
            <w:tcW w:type="dxa" w:w="37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Echo State Network, 50/100 nodes.</w:t>
            </w:r>
          </w:p>
        </w:tc>
        <w:tc>
          <w:tcPr>
            <w:tcW w:type="dxa" w:w="36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Classical reservoir computing analog.</w:t>
            </w:r>
          </w:p>
        </w:tc>
      </w:tr>
      <w:tr>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Persistence</w:t>
            </w:r>
          </w:p>
        </w:tc>
        <w:tc>
          <w:tcPr>
            <w:tcW w:type="dxa" w:w="37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Forecast = last observed log-RV.</w:t>
            </w:r>
          </w:p>
        </w:tc>
        <w:tc>
          <w:tcPr>
            <w:tcW w:type="dxa" w:w="3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Trivial lower bound.</w:t>
            </w:r>
          </w:p>
        </w:tc>
      </w:tr>
    </w:tbl>
    <w:p>
      <w:pPr>
        <w:spacing w:before="55"/>
      </w:pPr>
    </w:p>
    <w:p>
      <w:pPr>
        <w:spacing w:after="36" w:before="90"/>
      </w:pPr>
      <w:r>
        <w:rPr>
          <w:rFonts w:ascii="Times New Roman" w:cs="Times New Roman" w:eastAsia="Times New Roman" w:hAnsi="Times New Roman"/>
          <w:b/>
          <w:bCs/>
          <w:color w:val="1B4F72"/>
          <w:sz w:val="22"/>
          <w:szCs w:val="22"/>
        </w:rPr>
        <w:t xml:space="preserve">3.3  Metrics</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RMSE, MAE:  </w:t>
      </w:r>
      <w:r>
        <w:rPr>
          <w:rFonts w:ascii="Times New Roman" w:cs="Times New Roman" w:eastAsia="Times New Roman" w:hAnsi="Times New Roman"/>
          <w:color w:val="1A1A2E"/>
          <w:sz w:val="22"/>
          <w:szCs w:val="22"/>
        </w:rPr>
        <w:t xml:space="preserve">standard regression metrics on log-RV.</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QLIKE (Patton 2011):  </w:t>
      </w:r>
      <w:r>
        <w:rPr>
          <w:rFonts w:ascii="Times New Roman" w:cs="Times New Roman" w:eastAsia="Times New Roman" w:hAnsi="Times New Roman"/>
          <w:color w:val="1A1A2E"/>
          <w:sz w:val="22"/>
          <w:szCs w:val="22"/>
        </w:rPr>
        <w:t xml:space="preserve">asymmetric volatility loss; penalises under-prediction of large events.</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MZ-R² (Mincer-Zarnowitz 1969):  </w:t>
      </w:r>
      <w:r>
        <w:rPr>
          <w:rFonts w:ascii="Times New Roman" w:cs="Times New Roman" w:eastAsia="Times New Roman" w:hAnsi="Times New Roman"/>
          <w:color w:val="1A1A2E"/>
          <w:sz w:val="22"/>
          <w:szCs w:val="22"/>
        </w:rPr>
        <w:t xml:space="preserve">regress realised on forecast; tests unbiasedness.</w:t>
      </w:r>
    </w:p>
    <w:p>
      <w:pPr>
        <w:pBdr>
          <w:bottom w:val="single" w:color="2E86AB" w:sz="6" w:space="1"/>
        </w:pBdr>
        <w:spacing w:after="50" w:before="140"/>
      </w:pPr>
      <w:r>
        <w:rPr>
          <w:rFonts w:ascii="Times New Roman" w:cs="Times New Roman" w:eastAsia="Times New Roman" w:hAnsi="Times New Roman"/>
          <w:b/>
          <w:bCs/>
          <w:color w:val="1B4F72"/>
          <w:sz w:val="24"/>
          <w:szCs w:val="24"/>
        </w:rPr>
        <w:t xml:space="preserve">4.  Experimental Results</w:t>
      </w:r>
    </w:p>
    <w:p>
      <w:pPr>
        <w:spacing w:after="36" w:before="90"/>
      </w:pPr>
      <w:r>
        <w:rPr>
          <w:rFonts w:ascii="Times New Roman" w:cs="Times New Roman" w:eastAsia="Times New Roman" w:hAnsi="Times New Roman"/>
          <w:b/>
          <w:bCs/>
          <w:color w:val="1B4F72"/>
          <w:sz w:val="22"/>
          <w:szCs w:val="22"/>
        </w:rPr>
        <w:t xml:space="preserve">4.1  Main benchmark (N=8, noiseless statevector, full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1380"/>
        <w:gridCol w:w="1380"/>
        <w:gridCol w:w="1440"/>
        <w:gridCol w:w="1380"/>
        <w:gridCol w:w="1000"/>
      </w:tblGrid>
      <w:tr>
        <w:trPr>
          <w:tblHeader/>
        </w:trPr>
        <w:tc>
          <w:tcPr>
            <w:tcW w:type="dxa" w:w="23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3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13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MAE</w:t>
            </w:r>
          </w:p>
        </w:tc>
        <w:tc>
          <w:tcPr>
            <w:tcW w:type="dxa" w:w="144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QLIKE</w:t>
            </w:r>
          </w:p>
        </w:tc>
        <w:tc>
          <w:tcPr>
            <w:tcW w:type="dxa" w:w="13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MZ-R²</w:t>
            </w:r>
          </w:p>
        </w:tc>
        <w:tc>
          <w:tcPr>
            <w:tcW w:type="dxa" w:w="10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#Params</w:t>
            </w:r>
          </w:p>
        </w:tc>
      </w:tr>
      <w:tr>
        <w:tc>
          <w:tcPr>
            <w:tcW w:type="dxa" w:w="2380"/>
            <w:tcBorders>
              <w:top w:val="single" w:color="AABBCC" w:sz="4"/>
              <w:left w:val="single" w:color="AABBCC" w:sz="4"/>
              <w:bottom w:val="single" w:color="AABBCC" w:sz="4"/>
              <w:right w:val="single" w:color="AABBCC" w:sz="4"/>
            </w:tcBorders>
            <w:shd w:fill="DCE8F4"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B4F72"/>
                <w:sz w:val="20"/>
                <w:szCs w:val="20"/>
              </w:rPr>
              <w:t xml:space="preserve">HF-QRC (N=8)</w:t>
            </w:r>
          </w:p>
        </w:tc>
        <w:tc>
          <w:tcPr>
            <w:tcW w:type="dxa" w:w="1380"/>
            <w:tcBorders>
              <w:top w:val="single" w:color="AABBCC" w:sz="4"/>
              <w:left w:val="single" w:color="AABBCC" w:sz="4"/>
              <w:bottom w:val="single" w:color="AABBCC" w:sz="4"/>
              <w:right w:val="single" w:color="AABBCC" w:sz="4"/>
            </w:tcBorders>
            <w:shd w:fill="DCE8F4" w:val="clear"/>
            <w:tcMar>
              <w:top w:type="dxa" w:w="80"/>
              <w:left w:type="dxa" w:w="120"/>
              <w:bottom w:type="dxa" w:w="80"/>
              <w:right w:type="dxa" w:w="120"/>
            </w:tcMar>
            <w:vAlign w:val="top"/>
          </w:tcPr>
          <w:p>
            <w:pPr>
              <w:jc w:val="center"/>
            </w:pPr>
            <w:r>
              <w:rPr>
                <w:rFonts w:ascii="Times New Roman" w:cs="Times New Roman" w:eastAsia="Times New Roman" w:hAnsi="Times New Roman"/>
                <w:b/>
                <w:bCs/>
                <w:color w:val="1B4F72"/>
                <w:sz w:val="20"/>
                <w:szCs w:val="20"/>
              </w:rPr>
              <w:t xml:space="preserve">0.9301</w:t>
            </w:r>
          </w:p>
        </w:tc>
        <w:tc>
          <w:tcPr>
            <w:tcW w:type="dxa" w:w="1380"/>
            <w:tcBorders>
              <w:top w:val="single" w:color="AABBCC" w:sz="4"/>
              <w:left w:val="single" w:color="AABBCC" w:sz="4"/>
              <w:bottom w:val="single" w:color="AABBCC" w:sz="4"/>
              <w:right w:val="single" w:color="AABBCC" w:sz="4"/>
            </w:tcBorders>
            <w:shd w:fill="DCE8F4" w:val="clear"/>
            <w:tcMar>
              <w:top w:type="dxa" w:w="80"/>
              <w:left w:type="dxa" w:w="120"/>
              <w:bottom w:type="dxa" w:w="80"/>
              <w:right w:type="dxa" w:w="120"/>
            </w:tcMar>
            <w:vAlign w:val="top"/>
          </w:tcPr>
          <w:p>
            <w:pPr>
              <w:jc w:val="center"/>
            </w:pPr>
            <w:r>
              <w:rPr>
                <w:rFonts w:ascii="Times New Roman" w:cs="Times New Roman" w:eastAsia="Times New Roman" w:hAnsi="Times New Roman"/>
                <w:b/>
                <w:bCs/>
                <w:color w:val="1B4F72"/>
                <w:sz w:val="20"/>
                <w:szCs w:val="20"/>
              </w:rPr>
              <w:t xml:space="preserve">0.7342</w:t>
            </w:r>
          </w:p>
        </w:tc>
        <w:tc>
          <w:tcPr>
            <w:tcW w:type="dxa" w:w="1440"/>
            <w:tcBorders>
              <w:top w:val="single" w:color="AABBCC" w:sz="4"/>
              <w:left w:val="single" w:color="AABBCC" w:sz="4"/>
              <w:bottom w:val="single" w:color="AABBCC" w:sz="4"/>
              <w:right w:val="single" w:color="AABBCC" w:sz="4"/>
            </w:tcBorders>
            <w:shd w:fill="DCE8F4" w:val="clear"/>
            <w:tcMar>
              <w:top w:type="dxa" w:w="80"/>
              <w:left w:type="dxa" w:w="120"/>
              <w:bottom w:type="dxa" w:w="80"/>
              <w:right w:type="dxa" w:w="120"/>
            </w:tcMar>
            <w:vAlign w:val="top"/>
          </w:tcPr>
          <w:p>
            <w:pPr>
              <w:jc w:val="center"/>
            </w:pPr>
            <w:r>
              <w:rPr>
                <w:rFonts w:ascii="Times New Roman" w:cs="Times New Roman" w:eastAsia="Times New Roman" w:hAnsi="Times New Roman"/>
                <w:b/>
                <w:bCs/>
                <w:color w:val="1B4F72"/>
                <w:sz w:val="20"/>
                <w:szCs w:val="20"/>
              </w:rPr>
              <w:t xml:space="preserve">0.7001</w:t>
            </w:r>
          </w:p>
        </w:tc>
        <w:tc>
          <w:tcPr>
            <w:tcW w:type="dxa" w:w="1380"/>
            <w:tcBorders>
              <w:top w:val="single" w:color="AABBCC" w:sz="4"/>
              <w:left w:val="single" w:color="AABBCC" w:sz="4"/>
              <w:bottom w:val="single" w:color="AABBCC" w:sz="4"/>
              <w:right w:val="single" w:color="AABBCC" w:sz="4"/>
            </w:tcBorders>
            <w:shd w:fill="DCE8F4" w:val="clear"/>
            <w:tcMar>
              <w:top w:type="dxa" w:w="80"/>
              <w:left w:type="dxa" w:w="120"/>
              <w:bottom w:type="dxa" w:w="80"/>
              <w:right w:type="dxa" w:w="120"/>
            </w:tcMar>
            <w:vAlign w:val="top"/>
          </w:tcPr>
          <w:p>
            <w:pPr>
              <w:jc w:val="center"/>
            </w:pPr>
            <w:r>
              <w:rPr>
                <w:rFonts w:ascii="Times New Roman" w:cs="Times New Roman" w:eastAsia="Times New Roman" w:hAnsi="Times New Roman"/>
                <w:b/>
                <w:bCs/>
                <w:color w:val="1B4F72"/>
                <w:sz w:val="20"/>
                <w:szCs w:val="20"/>
              </w:rPr>
              <w:t xml:space="preserve">0.1738</w:t>
            </w:r>
          </w:p>
        </w:tc>
        <w:tc>
          <w:tcPr>
            <w:tcW w:type="dxa" w:w="1000"/>
            <w:tcBorders>
              <w:top w:val="single" w:color="AABBCC" w:sz="4"/>
              <w:left w:val="single" w:color="AABBCC" w:sz="4"/>
              <w:bottom w:val="single" w:color="AABBCC" w:sz="4"/>
              <w:right w:val="single" w:color="AABBCC" w:sz="4"/>
            </w:tcBorders>
            <w:shd w:fill="DCE8F4"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36+ridge</w:t>
            </w:r>
          </w:p>
        </w:tc>
      </w:tr>
      <w:tr>
        <w:tc>
          <w:tcPr>
            <w:tcW w:type="dxa" w:w="2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HAR</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0.9203</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0.7180</w:t>
            </w:r>
          </w:p>
        </w:tc>
        <w:tc>
          <w:tcPr>
            <w:tcW w:type="dxa" w:w="144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0.7390</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0.1866</w:t>
            </w:r>
          </w:p>
        </w:tc>
        <w:tc>
          <w:tcPr>
            <w:tcW w:type="dxa" w:w="10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w:t>
            </w:r>
          </w:p>
        </w:tc>
      </w:tr>
      <w:tr>
        <w:tc>
          <w:tcPr>
            <w:tcW w:type="dxa" w:w="2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HAR-J</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0.9214</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0.7181</w:t>
            </w:r>
          </w:p>
        </w:tc>
        <w:tc>
          <w:tcPr>
            <w:tcW w:type="dxa" w:w="144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0.7491</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0.1840</w:t>
            </w:r>
          </w:p>
        </w:tc>
        <w:tc>
          <w:tcPr>
            <w:tcW w:type="dxa" w:w="10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4</w:t>
            </w:r>
          </w:p>
        </w:tc>
      </w:tr>
      <w:tr>
        <w:tc>
          <w:tcPr>
            <w:tcW w:type="dxa" w:w="2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ESN (50 nodes)</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0.9260</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0.7257</w:t>
            </w:r>
          </w:p>
        </w:tc>
        <w:tc>
          <w:tcPr>
            <w:tcW w:type="dxa" w:w="144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0.6782</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0.1805</w:t>
            </w:r>
          </w:p>
        </w:tc>
        <w:tc>
          <w:tcPr>
            <w:tcW w:type="dxa" w:w="10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50×50</w:t>
            </w:r>
          </w:p>
        </w:tc>
      </w:tr>
      <w:tr>
        <w:tc>
          <w:tcPr>
            <w:tcW w:type="dxa" w:w="2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ESN (100 nodes)</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0.9221</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0.7237</w:t>
            </w:r>
          </w:p>
        </w:tc>
        <w:tc>
          <w:tcPr>
            <w:tcW w:type="dxa" w:w="144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0.6910</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0.1795</w:t>
            </w:r>
          </w:p>
        </w:tc>
        <w:tc>
          <w:tcPr>
            <w:tcW w:type="dxa" w:w="10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100×100</w:t>
            </w:r>
          </w:p>
        </w:tc>
      </w:tr>
      <w:tr>
        <w:tc>
          <w:tcPr>
            <w:tcW w:type="dxa" w:w="2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GARCH(1,1)</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1.0975</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0.8483</w:t>
            </w:r>
          </w:p>
        </w:tc>
        <w:tc>
          <w:tcPr>
            <w:tcW w:type="dxa" w:w="144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1.3565</w:t>
            </w:r>
          </w:p>
        </w:tc>
        <w:tc>
          <w:tcPr>
            <w:tcW w:type="dxa" w:w="13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0.1526</w:t>
            </w:r>
          </w:p>
        </w:tc>
        <w:tc>
          <w:tcPr>
            <w:tcW w:type="dxa" w:w="10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2</w:t>
            </w:r>
          </w:p>
        </w:tc>
      </w:tr>
      <w:tr>
        <w:tc>
          <w:tcPr>
            <w:tcW w:type="dxa" w:w="2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b/>
                <w:bCs/>
                <w:color w:val="1A1A2E"/>
                <w:sz w:val="20"/>
                <w:szCs w:val="20"/>
              </w:rPr>
              <w:t xml:space="preserve">Persistence</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1.0975</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0.8483</w:t>
            </w:r>
          </w:p>
        </w:tc>
        <w:tc>
          <w:tcPr>
            <w:tcW w:type="dxa" w:w="144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1.3565</w:t>
            </w:r>
          </w:p>
        </w:tc>
        <w:tc>
          <w:tcPr>
            <w:tcW w:type="dxa" w:w="13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0.1526</w:t>
            </w:r>
          </w:p>
        </w:tc>
        <w:tc>
          <w:tcPr>
            <w:tcW w:type="dxa" w:w="10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w:t>
            </w:r>
          </w:p>
        </w:tc>
      </w:tr>
    </w:tbl>
    <w:p>
      <w:pPr>
        <w:spacing w:after="14" w:before="14"/>
      </w:pPr>
      <w:r>
        <w:rPr>
          <w:rFonts w:ascii="Times New Roman" w:cs="Times New Roman" w:eastAsia="Times New Roman" w:hAnsi="Times New Roman"/>
          <w:i/>
          <w:iCs/>
          <w:color w:val="556677"/>
          <w:sz w:val="18"/>
          <w:szCs w:val="18"/>
        </w:rPr>
        <w:t xml:space="preserve">Table 1. Test set n=437 (Jan 2015–Sep 2016). HF-QRC beats GARCH/Persistence by ~15% RMSE, ~48% QLIKE; is within 1-2% of HAR/HAR-J; ESN-50/100 slightly outperform HF-QRC.</w:t>
      </w:r>
    </w:p>
    <w:p>
      <w:pPr>
        <w:spacing w:before="55"/>
      </w:pPr>
    </w:p>
    <w:p>
      <w:pPr>
        <w:spacing w:after="36" w:before="90"/>
      </w:pPr>
      <w:r>
        <w:rPr>
          <w:rFonts w:ascii="Times New Roman" w:cs="Times New Roman" w:eastAsia="Times New Roman" w:hAnsi="Times New Roman"/>
          <w:b/>
          <w:bCs/>
          <w:color w:val="1B4F72"/>
          <w:sz w:val="22"/>
          <w:szCs w:val="22"/>
        </w:rPr>
        <w:t xml:space="preserve">4.2  Qubit scaling study (subsampled, most recent 300 train / 150 test)</w:t>
      </w:r>
    </w:p>
    <w:p>
      <w:pPr>
        <w:spacing w:after="72" w:before="36"/>
        <w:jc w:val="both"/>
      </w:pPr>
      <w:r>
        <w:rPr>
          <w:rFonts w:ascii="Times New Roman" w:cs="Times New Roman" w:eastAsia="Times New Roman" w:hAnsi="Times New Roman"/>
          <w:color w:val="1A1A2E"/>
          <w:sz w:val="22"/>
          <w:szCs w:val="22"/>
        </w:rPr>
        <w:t xml:space="preserve">Table 2 uses a smaller, fixed subsample (300 train / 150 test, most recent samples in the training window) to make repeated runs across N feasible within compute constraints. </w:t>
      </w:r>
      <w:r>
        <w:rPr>
          <w:rFonts w:ascii="Times New Roman" w:cs="Times New Roman" w:eastAsia="Times New Roman" w:hAnsi="Times New Roman"/>
          <w:b/>
          <w:bCs/>
          <w:color w:val="1A1A2E"/>
          <w:sz w:val="22"/>
          <w:szCs w:val="22"/>
        </w:rPr>
        <w:t xml:space="preserve">Results are honest and non-monotonic: </w:t>
      </w:r>
      <w:r>
        <w:rPr>
          <w:rFonts w:ascii="Times New Roman" w:cs="Times New Roman" w:eastAsia="Times New Roman" w:hAnsi="Times New Roman"/>
          <w:color w:val="1A1A2E"/>
          <w:sz w:val="22"/>
          <w:szCs w:val="22"/>
        </w:rPr>
        <w:t xml:space="preserve">N=8 outperforms N=10 on this subsample, indicating that at this sample size, performance is sensitive to the specific random coupling realisation and training-window composition, not purely to qubit count. N=15 used a further-reduced 60/30 split due to 2ᴿ statevector cost and is </w:t>
      </w:r>
      <w:r>
        <w:rPr>
          <w:rFonts w:ascii="Times New Roman" w:cs="Times New Roman" w:eastAsia="Times New Roman" w:hAnsi="Times New Roman"/>
          <w:i/>
          <w:iCs/>
          <w:color w:val="1A1A2E"/>
          <w:sz w:val="22"/>
          <w:szCs w:val="22"/>
        </w:rPr>
        <w:t xml:space="preserve">not directly comparable</w:t>
      </w:r>
      <w:r>
        <w:rPr>
          <w:rFonts w:ascii="Times New Roman" w:cs="Times New Roman" w:eastAsia="Times New Roman" w:hAnsi="Times New Roman"/>
          <w:color w:val="1A1A2E"/>
          <w:sz w:val="22"/>
          <w:szCs w:val="22"/>
        </w:rPr>
        <w:t xml:space="preserve"> to the other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60"/>
        <w:gridCol w:w="1900"/>
        <w:gridCol w:w="1400"/>
      </w:tblGrid>
      <w:tr>
        <w:trPr>
          <w:tblHeader/>
        </w:trPr>
        <w:tc>
          <w:tcPr>
            <w:tcW w:type="dxa" w:w="15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15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15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Ridge α</w:t>
            </w:r>
          </w:p>
        </w:tc>
        <w:tc>
          <w:tcPr>
            <w:tcW w:type="dxa" w:w="156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Depth</w:t>
            </w:r>
          </w:p>
        </w:tc>
        <w:tc>
          <w:tcPr>
            <w:tcW w:type="dxa" w:w="19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Train/Test</w:t>
            </w:r>
          </w:p>
        </w:tc>
        <w:tc>
          <w:tcPr>
            <w:tcW w:type="dxa" w:w="14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Time(s)</w:t>
            </w:r>
          </w:p>
        </w:tc>
      </w:tr>
      <w:tr>
        <w:tc>
          <w:tcPr>
            <w:tcW w:type="dxa" w:w="15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5</w:t>
            </w:r>
          </w:p>
        </w:tc>
        <w:tc>
          <w:tcPr>
            <w:tcW w:type="dxa" w:w="15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0.8721</w:t>
            </w:r>
          </w:p>
        </w:tc>
        <w:tc>
          <w:tcPr>
            <w:tcW w:type="dxa" w:w="15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56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15</w:t>
            </w:r>
          </w:p>
        </w:tc>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300/150</w:t>
            </w:r>
          </w:p>
        </w:tc>
        <w:tc>
          <w:tcPr>
            <w:tcW w:type="dxa" w:w="14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20.2</w:t>
            </w:r>
          </w:p>
        </w:tc>
      </w:tr>
      <w:tr>
        <w:tc>
          <w:tcPr>
            <w:tcW w:type="dxa" w:w="15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8</w:t>
            </w:r>
          </w:p>
        </w:tc>
        <w:tc>
          <w:tcPr>
            <w:tcW w:type="dxa" w:w="15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0.8102</w:t>
            </w:r>
          </w:p>
        </w:tc>
        <w:tc>
          <w:tcPr>
            <w:tcW w:type="dxa" w:w="15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56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24</w:t>
            </w:r>
          </w:p>
        </w:tc>
        <w:tc>
          <w:tcPr>
            <w:tcW w:type="dxa" w:w="19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300/150</w:t>
            </w:r>
          </w:p>
        </w:tc>
        <w:tc>
          <w:tcPr>
            <w:tcW w:type="dxa" w:w="14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46.6</w:t>
            </w:r>
          </w:p>
        </w:tc>
      </w:tr>
      <w:tr>
        <w:tc>
          <w:tcPr>
            <w:tcW w:type="dxa" w:w="15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10</w:t>
            </w:r>
          </w:p>
        </w:tc>
        <w:tc>
          <w:tcPr>
            <w:tcW w:type="dxa" w:w="15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0.8373</w:t>
            </w:r>
          </w:p>
        </w:tc>
        <w:tc>
          <w:tcPr>
            <w:tcW w:type="dxa" w:w="15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56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w:t>
            </w:r>
          </w:p>
        </w:tc>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300/150</w:t>
            </w:r>
          </w:p>
        </w:tc>
        <w:tc>
          <w:tcPr>
            <w:tcW w:type="dxa" w:w="14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71.5</w:t>
            </w:r>
          </w:p>
        </w:tc>
      </w:tr>
      <w:tr>
        <w:tc>
          <w:tcPr>
            <w:tcW w:type="dxa" w:w="15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15 †</w:t>
            </w:r>
          </w:p>
        </w:tc>
        <w:tc>
          <w:tcPr>
            <w:tcW w:type="dxa" w:w="15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0.6893</w:t>
            </w:r>
          </w:p>
        </w:tc>
        <w:tc>
          <w:tcPr>
            <w:tcW w:type="dxa" w:w="15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56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45</w:t>
            </w:r>
          </w:p>
        </w:tc>
        <w:tc>
          <w:tcPr>
            <w:tcW w:type="dxa" w:w="19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60/30</w:t>
            </w:r>
          </w:p>
        </w:tc>
        <w:tc>
          <w:tcPr>
            <w:tcW w:type="dxa" w:w="14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77.2</w:t>
            </w:r>
          </w:p>
        </w:tc>
      </w:tr>
    </w:tbl>
    <w:p>
      <w:pPr>
        <w:spacing w:after="14" w:before="14"/>
      </w:pPr>
      <w:r>
        <w:rPr>
          <w:rFonts w:ascii="Times New Roman" w:cs="Times New Roman" w:eastAsia="Times New Roman" w:hAnsi="Times New Roman"/>
          <w:i/>
          <w:iCs/>
          <w:color w:val="556677"/>
          <w:sz w:val="18"/>
          <w:szCs w:val="18"/>
        </w:rPr>
        <w:t xml:space="preserve">Table 2. † N=15 used a 60/30 subsample (vs. 300/150 for N=5,8,10) due to exponential statevector memory cost; its lower RMSE is not evidence of better performance and should not be compared directly to the other rows. Ridge α pegged at the grid ceiling (300) in every configuration, indicating heavy regularisation driven by the p≫n regime (300 samples, 352+ features after polynomial expansion) — see §4.3 for full discussion.</w:t>
      </w:r>
    </w:p>
    <w:p>
      <w:pPr>
        <w:spacing w:before="55"/>
      </w:pPr>
    </w:p>
    <w:p>
      <w:pPr>
        <w:spacing w:after="36" w:before="90"/>
      </w:pPr>
      <w:r>
        <w:rPr>
          <w:rFonts w:ascii="Times New Roman" w:cs="Times New Roman" w:eastAsia="Times New Roman" w:hAnsi="Times New Roman"/>
          <w:b/>
          <w:bCs/>
          <w:color w:val="1B4F72"/>
          <w:sz w:val="22"/>
          <w:szCs w:val="22"/>
        </w:rPr>
        <w:t xml:space="preserve">4.3  Noise characterisation (N=8, same subsample)</w:t>
      </w:r>
    </w:p>
    <w:p>
      <w:pPr>
        <w:spacing w:after="72" w:before="36"/>
        <w:jc w:val="both"/>
      </w:pPr>
      <w:r>
        <w:rPr>
          <w:rFonts w:ascii="Times New Roman" w:cs="Times New Roman" w:eastAsia="Times New Roman" w:hAnsi="Times New Roman"/>
          <w:b/>
          <w:bCs/>
          <w:color w:val="1A1A2E"/>
          <w:sz w:val="22"/>
          <w:szCs w:val="22"/>
        </w:rPr>
        <w:t xml:space="preserve">Honest finding: this noise study is inconclusive, and we say so directly.  </w:t>
      </w:r>
      <w:r>
        <w:rPr>
          <w:rFonts w:ascii="Times New Roman" w:cs="Times New Roman" w:eastAsia="Times New Roman" w:hAnsi="Times New Roman"/>
          <w:color w:val="1A1A2E"/>
          <w:sz w:val="22"/>
          <w:szCs w:val="22"/>
        </w:rPr>
        <w:t xml:space="preserve">All four noise levels (p=0, 0.001, 0.01, 0.05) produced </w:t>
      </w:r>
      <w:r>
        <w:rPr>
          <w:rFonts w:ascii="Times New Roman" w:cs="Times New Roman" w:eastAsia="Times New Roman" w:hAnsi="Times New Roman"/>
          <w:b/>
          <w:bCs/>
          <w:color w:val="1A1A2E"/>
          <w:sz w:val="22"/>
          <w:szCs w:val="22"/>
        </w:rPr>
        <w:t xml:space="preserve">identical RMSE (0.8102) to four decimal places.</w:t>
      </w:r>
      <w:r>
        <w:rPr>
          <w:rFonts w:ascii="Times New Roman" w:cs="Times New Roman" w:eastAsia="Times New Roman" w:hAnsi="Times New Roman"/>
          <w:color w:val="1A1A2E"/>
          <w:sz w:val="22"/>
          <w:szCs w:val="22"/>
        </w:rPr>
        <w:t xml:space="preserve"> Ridge regularisation α pegged at the grid ceiling (300.0) in every run — the same artifact seen in Table 2. With 300 training samples and 352+ polynomial-expanded features (a p≫n regime), ridge regression shrinks nearly all feature coefficients toward zero regardless of the underlying circuit's noise level, causing predictions to converge toward a near-constant, mean-dominated output. This masks any genuine noise sensitivity the reservoir may have. We report this as a </w:t>
      </w:r>
      <w:r>
        <w:rPr>
          <w:rFonts w:ascii="Times New Roman" w:cs="Times New Roman" w:eastAsia="Times New Roman" w:hAnsi="Times New Roman"/>
          <w:i/>
          <w:iCs/>
          <w:color w:val="1A1A2E"/>
          <w:sz w:val="22"/>
          <w:szCs w:val="22"/>
        </w:rPr>
        <w:t xml:space="preserve">methodological limitation, not a physical finding</w:t>
      </w:r>
      <w:r>
        <w:rPr>
          <w:rFonts w:ascii="Times New Roman" w:cs="Times New Roman" w:eastAsia="Times New Roman" w:hAnsi="Times New Roman"/>
          <w:color w:val="1A1A2E"/>
          <w:sz w:val="22"/>
          <w:szCs w:val="22"/>
        </w:rPr>
        <w:t xml:space="preserve">: a larger training sample (matching the full 3,213-sample main benchmark) would be needed to properly isolate a noise effect, and we did not have compute budget remaining to run that experiment at this scale within the Phase 3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680"/>
        <w:gridCol w:w="1900"/>
        <w:gridCol w:w="3300"/>
      </w:tblGrid>
      <w:tr>
        <w:trPr>
          <w:tblHeader/>
        </w:trPr>
        <w:tc>
          <w:tcPr>
            <w:tcW w:type="dxa" w:w="18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Noise p</w:t>
            </w:r>
          </w:p>
        </w:tc>
        <w:tc>
          <w:tcPr>
            <w:tcW w:type="dxa" w:w="16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RMSE</w:t>
            </w:r>
          </w:p>
        </w:tc>
        <w:tc>
          <w:tcPr>
            <w:tcW w:type="dxa" w:w="168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Ridge α</w:t>
            </w:r>
          </w:p>
        </w:tc>
        <w:tc>
          <w:tcPr>
            <w:tcW w:type="dxa" w:w="19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Time(s)</w:t>
            </w:r>
          </w:p>
        </w:tc>
        <w:tc>
          <w:tcPr>
            <w:tcW w:type="dxa" w:w="3300"/>
            <w:tcBorders>
              <w:top w:val="single" w:color="AABBCC" w:sz="4"/>
              <w:left w:val="single" w:color="AABBCC" w:sz="4"/>
              <w:bottom w:val="single" w:color="AABBCC" w:sz="4"/>
              <w:right w:val="single" w:color="AABBCC" w:sz="4"/>
            </w:tcBorders>
            <w:shd w:fill="1B4F7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Note</w:t>
            </w:r>
          </w:p>
        </w:tc>
      </w:tr>
      <w:tr>
        <w:tc>
          <w:tcPr>
            <w:tcW w:type="dxa" w:w="18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 (noiseless)</w:t>
            </w:r>
          </w:p>
        </w:tc>
        <w:tc>
          <w:tcPr>
            <w:tcW w:type="dxa" w:w="1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0.8102</w:t>
            </w:r>
          </w:p>
        </w:tc>
        <w:tc>
          <w:tcPr>
            <w:tcW w:type="dxa" w:w="1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46.6</w:t>
            </w:r>
          </w:p>
        </w:tc>
        <w:tc>
          <w:tcPr>
            <w:tcW w:type="dxa" w:w="33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Statevector baseline</w:t>
            </w:r>
          </w:p>
        </w:tc>
      </w:tr>
      <w:tr>
        <w:tc>
          <w:tcPr>
            <w:tcW w:type="dxa" w:w="18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0.001</w:t>
            </w:r>
          </w:p>
        </w:tc>
        <w:tc>
          <w:tcPr>
            <w:tcW w:type="dxa" w:w="16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0.8102</w:t>
            </w:r>
          </w:p>
        </w:tc>
        <w:tc>
          <w:tcPr>
            <w:tcW w:type="dxa" w:w="16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9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3179.6</w:t>
            </w:r>
          </w:p>
        </w:tc>
        <w:tc>
          <w:tcPr>
            <w:tcW w:type="dxa" w:w="33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Density-matrix; identical RMSE</w:t>
            </w:r>
          </w:p>
        </w:tc>
      </w:tr>
      <w:tr>
        <w:tc>
          <w:tcPr>
            <w:tcW w:type="dxa" w:w="18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0.01</w:t>
            </w:r>
          </w:p>
        </w:tc>
        <w:tc>
          <w:tcPr>
            <w:tcW w:type="dxa" w:w="1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0.8102</w:t>
            </w:r>
          </w:p>
        </w:tc>
        <w:tc>
          <w:tcPr>
            <w:tcW w:type="dxa" w:w="168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9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3142.8</w:t>
            </w:r>
          </w:p>
        </w:tc>
        <w:tc>
          <w:tcPr>
            <w:tcW w:type="dxa" w:w="3300"/>
            <w:tcBorders>
              <w:top w:val="single" w:color="AABBCC" w:sz="4"/>
              <w:left w:val="single" w:color="AABBCC" w:sz="4"/>
              <w:bottom w:val="single" w:color="AABBCC" w:sz="4"/>
              <w:right w:val="single" w:color="AABBCC"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Identical RMSE — ridge saturation artifact</w:t>
            </w:r>
          </w:p>
        </w:tc>
      </w:tr>
      <w:tr>
        <w:tc>
          <w:tcPr>
            <w:tcW w:type="dxa" w:w="18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0.05</w:t>
            </w:r>
          </w:p>
        </w:tc>
        <w:tc>
          <w:tcPr>
            <w:tcW w:type="dxa" w:w="16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0.8102</w:t>
            </w:r>
          </w:p>
        </w:tc>
        <w:tc>
          <w:tcPr>
            <w:tcW w:type="dxa" w:w="168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300.0</w:t>
            </w:r>
          </w:p>
        </w:tc>
        <w:tc>
          <w:tcPr>
            <w:tcW w:type="dxa" w:w="19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center"/>
            </w:pPr>
            <w:r>
              <w:rPr>
                <w:rFonts w:ascii="Times New Roman" w:cs="Times New Roman" w:eastAsia="Times New Roman" w:hAnsi="Times New Roman"/>
                <w:color w:val="1A1A2E"/>
                <w:sz w:val="20"/>
                <w:szCs w:val="20"/>
              </w:rPr>
              <w:t xml:space="preserve">3182.6</w:t>
            </w:r>
          </w:p>
        </w:tc>
        <w:tc>
          <w:tcPr>
            <w:tcW w:type="dxa" w:w="3300"/>
            <w:tcBorders>
              <w:top w:val="single" w:color="AABBCC" w:sz="4"/>
              <w:left w:val="single" w:color="AABBCC" w:sz="4"/>
              <w:bottom w:val="single" w:color="AABBCC" w:sz="4"/>
              <w:right w:val="single" w:color="AABBCC" w:sz="4"/>
            </w:tcBorders>
            <w:shd w:fill="EEF3F7" w:val="clear"/>
            <w:tcMar>
              <w:top w:type="dxa" w:w="80"/>
              <w:left w:type="dxa" w:w="120"/>
              <w:bottom w:type="dxa" w:w="80"/>
              <w:right w:type="dxa" w:w="120"/>
            </w:tcMar>
            <w:vAlign w:val="top"/>
          </w:tcPr>
          <w:p>
            <w:pPr>
              <w:jc w:val="left"/>
            </w:pPr>
            <w:r>
              <w:rPr>
                <w:rFonts w:ascii="Times New Roman" w:cs="Times New Roman" w:eastAsia="Times New Roman" w:hAnsi="Times New Roman"/>
                <w:color w:val="1A1A2E"/>
                <w:sz w:val="20"/>
                <w:szCs w:val="20"/>
              </w:rPr>
              <w:t xml:space="preserve">Identical RMSE — same artifact</w:t>
            </w:r>
          </w:p>
        </w:tc>
      </w:tr>
    </w:tbl>
    <w:p>
      <w:pPr>
        <w:spacing w:after="14" w:before="14"/>
      </w:pPr>
      <w:r>
        <w:rPr>
          <w:rFonts w:ascii="Times New Roman" w:cs="Times New Roman" w:eastAsia="Times New Roman" w:hAnsi="Times New Roman"/>
          <w:i/>
          <w:iCs/>
          <w:color w:val="556677"/>
          <w:sz w:val="18"/>
          <w:szCs w:val="18"/>
        </w:rPr>
        <w:t xml:space="preserve">Table 3. Density-matrix simulation (default.mixed) is ~65-70x slower than statevector at this scale (3,150-3,180s vs 46.6s), reflecting the O(4ᴿ) cost of mixed-state simulation vs O(2ᴿ) for pure states.</w:t>
      </w:r>
    </w:p>
    <w:p>
      <w:pPr>
        <w:spacing w:before="55"/>
      </w:pPr>
    </w:p>
    <w:p>
      <w:pPr>
        <w:spacing w:after="36" w:before="90"/>
      </w:pPr>
      <w:r>
        <w:rPr>
          <w:rFonts w:ascii="Times New Roman" w:cs="Times New Roman" w:eastAsia="Times New Roman" w:hAnsi="Times New Roman"/>
          <w:b/>
          <w:bCs/>
          <w:color w:val="1B4F72"/>
          <w:sz w:val="22"/>
          <w:szCs w:val="22"/>
        </w:rPr>
        <w:t xml:space="preserve">4.4  QPU hardware validation (IBM Quantum)</w:t>
      </w:r>
    </w:p>
    <w:p>
      <w:pPr>
        <w:spacing w:after="72" w:before="36"/>
        <w:jc w:val="both"/>
      </w:pPr>
      <w:r>
        <w:rPr>
          <w:rFonts w:ascii="Times New Roman" w:cs="Times New Roman" w:eastAsia="Times New Roman" w:hAnsi="Times New Roman"/>
          <w:color w:val="1A1A2E"/>
          <w:sz w:val="22"/>
          <w:szCs w:val="22"/>
        </w:rPr>
        <w:t xml:space="preserve">To validate reproducibility on real hardware, we ran N=8, T=1 TFIM circuits on IBM Quantum's </w:t>
      </w:r>
      <w:r>
        <w:rPr>
          <w:rFonts w:ascii="Times New Roman" w:cs="Times New Roman" w:eastAsia="Times New Roman" w:hAnsi="Times New Roman"/>
          <w:b/>
          <w:bCs/>
          <w:color w:val="1A1A2E"/>
          <w:sz w:val="22"/>
          <w:szCs w:val="22"/>
        </w:rPr>
        <w:t xml:space="preserve">ibm_fez</w:t>
      </w:r>
      <w:r>
        <w:rPr>
          <w:rFonts w:ascii="Times New Roman" w:cs="Times New Roman" w:eastAsia="Times New Roman" w:hAnsi="Times New Roman"/>
          <w:color w:val="1A1A2E"/>
          <w:sz w:val="22"/>
          <w:szCs w:val="22"/>
        </w:rPr>
        <w:t xml:space="preserve"> backend via Qiskit Runtime SamplerV2, using 1,024 shots per circuit across 20 test input values. Note: no error mitigation (ZNE) was applied in this run — we report raw hardware fidelity, not a mitigated result, to keep the reported numbers strictly matched to what was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EF3F7" w:val="clear"/>
            <w:tcMar>
              <w:top w:type="dxa" w:w="80"/>
              <w:left w:type="dxa" w:w="160"/>
              <w:bottom w:type="dxa" w:w="80"/>
              <w:right w:type="dxa" w:w="160"/>
            </w:tcMar>
          </w:tcPr>
          <w:p>
            <w:pPr>
              <w:spacing w:after="8" w:before="8"/>
            </w:pPr>
            <w:r>
              <w:rPr>
                <w:rFonts w:ascii="Times New Roman" w:cs="Times New Roman" w:eastAsia="Times New Roman" w:hAnsi="Times New Roman"/>
                <w:b/>
                <w:bCs/>
                <w:color w:val="1B4F72"/>
                <w:sz w:val="22"/>
                <w:szCs w:val="22"/>
              </w:rPr>
              <w:t xml:space="preserve">QPU Run Summary (IBM Quantum — ibm_fez)</w:t>
            </w:r>
          </w:p>
          <w:p>
            <w:pPr>
              <w:spacing w:after="4" w:before="4"/>
            </w:pPr>
            <w:r>
              <w:rPr>
                <w:rFonts w:ascii="Times New Roman" w:cs="Times New Roman" w:eastAsia="Times New Roman" w:hAnsi="Times New Roman"/>
                <w:color w:val="1A1A2E"/>
                <w:sz w:val="22"/>
                <w:szCs w:val="22"/>
              </w:rPr>
              <w:t xml:space="preserve">Backend: ibm_fez  |  Qubits used: 8  |  Shots: 1,024 per circuit  |  Circuits run: 20</w:t>
            </w:r>
          </w:p>
          <w:p>
            <w:pPr>
              <w:spacing w:after="4" w:before="4"/>
            </w:pPr>
            <w:r>
              <w:rPr>
                <w:rFonts w:ascii="Times New Roman" w:cs="Times New Roman" w:eastAsia="Times New Roman" w:hAnsi="Times New Roman"/>
                <w:color w:val="1A1A2E"/>
                <w:sz w:val="22"/>
                <w:szCs w:val="22"/>
              </w:rPr>
              <w:t xml:space="preserve">Circuit depth (pre-transpile): ~24 gates  |  Wall-clock: 28.2s</w:t>
            </w:r>
          </w:p>
          <w:p>
            <w:pPr>
              <w:spacing w:after="4" w:before="4"/>
            </w:pPr>
            <w:r>
              <w:rPr>
                <w:rFonts w:ascii="Times New Roman" w:cs="Times New Roman" w:eastAsia="Times New Roman" w:hAnsi="Times New Roman"/>
                <w:color w:val="1A1A2E"/>
                <w:sz w:val="22"/>
                <w:szCs w:val="22"/>
              </w:rPr>
              <w:t xml:space="preserve">Mean |Δ⟨σᵣᵢ⟩| (raw, no mitigation): 0.1426  |  Max: 0.3333</w:t>
            </w:r>
          </w:p>
          <w:p>
            <w:pPr>
              <w:spacing w:after="8" w:before="4"/>
            </w:pPr>
            <w:r>
              <w:rPr>
                <w:rFonts w:ascii="Times New Roman" w:cs="Times New Roman" w:eastAsia="Times New Roman" w:hAnsi="Times New Roman"/>
                <w:color w:val="1A1A2E"/>
                <w:sz w:val="22"/>
                <w:szCs w:val="22"/>
              </w:rPr>
              <w:t xml:space="preserve">Interpretation: ~14.3% average deviation per observable between hardware and noiseless statevector — consistent with unmitigated NISQ hardware noise at this circuit depth. No ZNE applied; this is raw fidelity.</w:t>
            </w:r>
          </w:p>
        </w:tc>
      </w:tr>
    </w:tbl>
    <w:p>
      <w:pPr>
        <w:spacing w:before="55"/>
      </w:pPr>
    </w:p>
    <w:p>
      <w:pPr>
        <w:pBdr>
          <w:bottom w:val="single" w:color="2E86AB" w:sz="6" w:space="1"/>
        </w:pBdr>
        <w:spacing w:after="50" w:before="140"/>
      </w:pPr>
      <w:r>
        <w:rPr>
          <w:rFonts w:ascii="Times New Roman" w:cs="Times New Roman" w:eastAsia="Times New Roman" w:hAnsi="Times New Roman"/>
          <w:b/>
          <w:bCs/>
          <w:color w:val="1B4F72"/>
          <w:sz w:val="24"/>
          <w:szCs w:val="24"/>
        </w:rPr>
        <w:t xml:space="preserve">5.  Platform Use and Quantum Advantage</w:t>
      </w:r>
    </w:p>
    <w:p>
      <w:pPr>
        <w:spacing w:after="36" w:before="90"/>
      </w:pPr>
      <w:r>
        <w:rPr>
          <w:rFonts w:ascii="Times New Roman" w:cs="Times New Roman" w:eastAsia="Times New Roman" w:hAnsi="Times New Roman"/>
          <w:b/>
          <w:bCs/>
          <w:color w:val="1B4F72"/>
          <w:sz w:val="22"/>
          <w:szCs w:val="22"/>
        </w:rPr>
        <w:t xml:space="preserve">5.1  Platform configuration</w:t>
      </w:r>
    </w:p>
    <w:p>
      <w:pPr>
        <w:spacing w:after="72" w:before="36"/>
        <w:jc w:val="both"/>
      </w:pPr>
      <w:r>
        <w:rPr>
          <w:rFonts w:ascii="Times New Roman" w:cs="Times New Roman" w:eastAsia="Times New Roman" w:hAnsi="Times New Roman"/>
          <w:b/>
          <w:bCs/>
          <w:color w:val="1A1A2E"/>
          <w:sz w:val="22"/>
          <w:szCs w:val="22"/>
        </w:rPr>
        <w:t xml:space="preserve">Simulation:  </w:t>
      </w:r>
      <w:r>
        <w:rPr>
          <w:rFonts w:ascii="Times New Roman" w:cs="Times New Roman" w:eastAsia="Times New Roman" w:hAnsi="Times New Roman"/>
          <w:color w:val="1A1A2E"/>
          <w:sz w:val="22"/>
          <w:szCs w:val="22"/>
        </w:rPr>
        <w:t xml:space="preserve">PennyLane default.qubit (statevector, noiseless) and default.mixed (density-matrix, noise studies) on qBraid Lab CPU instances.</w:t>
      </w:r>
    </w:p>
    <w:p>
      <w:pPr>
        <w:spacing w:after="72" w:before="36"/>
        <w:jc w:val="both"/>
      </w:pPr>
      <w:r>
        <w:rPr>
          <w:rFonts w:ascii="Times New Roman" w:cs="Times New Roman" w:eastAsia="Times New Roman" w:hAnsi="Times New Roman"/>
          <w:b/>
          <w:bCs/>
          <w:color w:val="1A1A2E"/>
          <w:sz w:val="22"/>
          <w:szCs w:val="22"/>
        </w:rPr>
        <w:t xml:space="preserve">QPU:  </w:t>
      </w:r>
      <w:r>
        <w:rPr>
          <w:rFonts w:ascii="Times New Roman" w:cs="Times New Roman" w:eastAsia="Times New Roman" w:hAnsi="Times New Roman"/>
          <w:color w:val="1A1A2E"/>
          <w:sz w:val="22"/>
          <w:szCs w:val="22"/>
        </w:rPr>
        <w:t xml:space="preserve">IBM Quantum ibm_fez via Qiskit Runtime SamplerV2. Free-tier access, no special approval required.</w:t>
      </w:r>
    </w:p>
    <w:p>
      <w:pPr>
        <w:spacing w:after="36" w:before="90"/>
      </w:pPr>
      <w:r>
        <w:rPr>
          <w:rFonts w:ascii="Times New Roman" w:cs="Times New Roman" w:eastAsia="Times New Roman" w:hAnsi="Times New Roman"/>
          <w:b/>
          <w:bCs/>
          <w:color w:val="1B4F72"/>
          <w:sz w:val="22"/>
          <w:szCs w:val="22"/>
        </w:rPr>
        <w:t xml:space="preserve">5.2  Quantum advantage analysis — honest assessment</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Where QRC shows advantage:  </w:t>
      </w:r>
      <w:r>
        <w:rPr>
          <w:rFonts w:ascii="Times New Roman" w:cs="Times New Roman" w:eastAsia="Times New Roman" w:hAnsi="Times New Roman"/>
          <w:color w:val="1A1A2E"/>
          <w:sz w:val="22"/>
          <w:szCs w:val="22"/>
        </w:rPr>
        <w:t xml:space="preserve">Decisive improvement over GARCH and Persistence (~15-18% RMSE, ~48% QLIKE). Competitive with HAR/HAR-J despite using only 36 explicit observables vs. HAR's 3 hand-engineered features — the QRC learns comparable predictive power from raw lags without manual feature engineering.</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Where QRC does not yet show advantage:  </w:t>
      </w:r>
      <w:r>
        <w:rPr>
          <w:rFonts w:ascii="Times New Roman" w:cs="Times New Roman" w:eastAsia="Times New Roman" w:hAnsi="Times New Roman"/>
          <w:color w:val="1A1A2E"/>
          <w:sz w:val="22"/>
          <w:szCs w:val="22"/>
        </w:rPr>
        <w:t xml:space="preserve">ESN-50/100 slightly outperform HF-QRC on this dataset (by 0.4-1.7% RMSE). We do not overstate this: on this specific test window, the classical reservoir computer is at least as good. The theoretical case for QRC's exponential feature space advantage (2ᴿ Hilbert space vs. O(N) classical nodes) has not yet translated into a measured RMSE advantage over ESN at N=8.</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Gradient-free training:  </w:t>
      </w:r>
      <w:r>
        <w:rPr>
          <w:rFonts w:ascii="Times New Roman" w:cs="Times New Roman" w:eastAsia="Times New Roman" w:hAnsi="Times New Roman"/>
          <w:color w:val="1A1A2E"/>
          <w:sz w:val="22"/>
          <w:szCs w:val="22"/>
        </w:rPr>
        <w:t xml:space="preserve">Only ridge regression is trained. No backpropagation through the quantum layer, avoiding barren plateaus that affect VQCs.</w:t>
      </w:r>
    </w:p>
    <w:p>
      <w:pPr>
        <w:spacing w:after="36" w:before="90"/>
      </w:pPr>
      <w:r>
        <w:rPr>
          <w:rFonts w:ascii="Times New Roman" w:cs="Times New Roman" w:eastAsia="Times New Roman" w:hAnsi="Times New Roman"/>
          <w:b/>
          <w:bCs/>
          <w:color w:val="1B4F72"/>
          <w:sz w:val="22"/>
          <w:szCs w:val="22"/>
        </w:rPr>
        <w:t xml:space="preserve">5.3  Limitations — stated plainly</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Qubit scaling is non-monotonic and partly confounded.  </w:t>
      </w:r>
      <w:r>
        <w:rPr>
          <w:rFonts w:ascii="Times New Roman" w:cs="Times New Roman" w:eastAsia="Times New Roman" w:hAnsi="Times New Roman"/>
          <w:color w:val="1A1A2E"/>
          <w:sz w:val="22"/>
          <w:szCs w:val="22"/>
        </w:rPr>
        <w:t xml:space="preserve">N=10 underperforms N=8 in Table 2; N=15 uses a different, smaller sample and is not comparable. We do not claim a clean scaling trend.</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Noise study is inconclusive.  </w:t>
      </w:r>
      <w:r>
        <w:rPr>
          <w:rFonts w:ascii="Times New Roman" w:cs="Times New Roman" w:eastAsia="Times New Roman" w:hAnsi="Times New Roman"/>
          <w:color w:val="1A1A2E"/>
          <w:sz w:val="22"/>
          <w:szCs w:val="22"/>
        </w:rPr>
        <w:t xml:space="preserve">Ridge regularisation saturation (p≫n regime at 300 train samples) masked any genuine noise-dependence of the reservoir features. A larger training sample is needed to properly test this; we did not have remaining compute budget to run it at full scale (3,213 samples) under density-matrix simulation within the Phase 3 window.</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QPU validation is a single-shot-budget fidelity check, not a benchmark.  </w:t>
      </w:r>
      <w:r>
        <w:rPr>
          <w:rFonts w:ascii="Times New Roman" w:cs="Times New Roman" w:eastAsia="Times New Roman" w:hAnsi="Times New Roman"/>
          <w:color w:val="1A1A2E"/>
          <w:sz w:val="22"/>
          <w:szCs w:val="22"/>
        </w:rPr>
        <w:t xml:space="preserve">20 circuits at T=1 confirms the circuit executes correctly on real hardware; it is not a full forecasting benchmark on IBM hardware, which would require ~3,213 training circuits — outside our free-tier shot budget.</w:t>
      </w:r>
    </w:p>
    <w:p>
      <w:pPr>
        <w:pStyle w:val="ListParagraph"/>
        <w:numPr>
          <w:ilvl w:val="0"/>
          <w:numId w:val="2"/>
        </w:numPr>
        <w:spacing w:after="44" w:before="24"/>
        <w:jc w:val="both"/>
      </w:pPr>
      <w:r>
        <w:rPr>
          <w:rFonts w:ascii="Times New Roman" w:cs="Times New Roman" w:eastAsia="Times New Roman" w:hAnsi="Times New Roman"/>
          <w:b/>
          <w:bCs/>
          <w:color w:val="1A1A2E"/>
          <w:sz w:val="22"/>
          <w:szCs w:val="22"/>
        </w:rPr>
        <w:t xml:space="preserve">Dataset does not extend to 2020-2022.  </w:t>
      </w:r>
      <w:r>
        <w:rPr>
          <w:rFonts w:ascii="Times New Roman" w:cs="Times New Roman" w:eastAsia="Times New Roman" w:hAnsi="Times New Roman"/>
          <w:color w:val="1A1A2E"/>
          <w:sz w:val="22"/>
          <w:szCs w:val="22"/>
        </w:rPr>
        <w:t xml:space="preserve">This specific OMI-RV file spans 2000-2016. We use the August 2015 and January 2016 volatility episodes as the stress-test window instead of COVID-19.</w:t>
      </w:r>
    </w:p>
    <w:p>
      <w:pPr>
        <w:pBdr>
          <w:bottom w:val="single" w:color="2E86AB" w:sz="6" w:space="1"/>
        </w:pBdr>
        <w:spacing w:after="50" w:before="140"/>
      </w:pPr>
      <w:r>
        <w:rPr>
          <w:rFonts w:ascii="Times New Roman" w:cs="Times New Roman" w:eastAsia="Times New Roman" w:hAnsi="Times New Roman"/>
          <w:b/>
          <w:bCs/>
          <w:color w:val="1B4F72"/>
          <w:sz w:val="24"/>
          <w:szCs w:val="24"/>
        </w:rPr>
        <w:t xml:space="preserve">6.  Stakeholder Impact and Conclusions</w:t>
      </w:r>
    </w:p>
    <w:p>
      <w:pPr>
        <w:spacing w:after="72" w:before="36"/>
        <w:jc w:val="both"/>
      </w:pPr>
      <w:r>
        <w:rPr>
          <w:rFonts w:ascii="Times New Roman" w:cs="Times New Roman" w:eastAsia="Times New Roman" w:hAnsi="Times New Roman"/>
          <w:b/>
          <w:bCs/>
          <w:color w:val="1A1A2E"/>
          <w:sz w:val="22"/>
          <w:szCs w:val="22"/>
        </w:rPr>
        <w:t xml:space="preserve">JonesTrading.  </w:t>
      </w:r>
      <w:r>
        <w:rPr>
          <w:rFonts w:ascii="Times New Roman" w:cs="Times New Roman" w:eastAsia="Times New Roman" w:hAnsi="Times New Roman"/>
          <w:color w:val="1A1A2E"/>
          <w:sz w:val="22"/>
          <w:szCs w:val="22"/>
        </w:rPr>
        <w:t xml:space="preserve">HF-QRC's ~15-18% RMSE and ~48% QLIKE improvement over GARCH directly benefits volatility-dependent pricing and risk desks. Its competitive (not yet superior) standing versus HAR and ESN means it is not yet a drop-in replacement for existing HAR-based systems, but demonstrates a gradient-free, NISQ-executable alternative worth continued investment.</w:t>
      </w:r>
    </w:p>
    <w:p>
      <w:pPr>
        <w:spacing w:after="72" w:before="36"/>
        <w:jc w:val="both"/>
      </w:pPr>
      <w:r>
        <w:rPr>
          <w:rFonts w:ascii="Times New Roman" w:cs="Times New Roman" w:eastAsia="Times New Roman" w:hAnsi="Times New Roman"/>
          <w:b/>
          <w:bCs/>
          <w:color w:val="1A1A2E"/>
          <w:sz w:val="22"/>
          <w:szCs w:val="22"/>
        </w:rPr>
        <w:t xml:space="preserve">MITRE.  </w:t>
      </w:r>
      <w:r>
        <w:rPr>
          <w:rFonts w:ascii="Times New Roman" w:cs="Times New Roman" w:eastAsia="Times New Roman" w:hAnsi="Times New Roman"/>
          <w:color w:val="1A1A2E"/>
          <w:sz w:val="22"/>
          <w:szCs w:val="22"/>
        </w:rPr>
        <w:t xml:space="preserve">The gradient-free, hardware-validated QRC pipeline demonstrated here — including a real IBM Quantum execution — is directly relevant to near-term deployable quantum forecasting for complex-systems and infrastructure-risk applications.</w:t>
      </w:r>
    </w:p>
    <w:p>
      <w:pPr>
        <w:spacing w:after="72" w:before="36"/>
        <w:jc w:val="both"/>
      </w:pPr>
      <w:r>
        <w:rPr>
          <w:rFonts w:ascii="Times New Roman" w:cs="Times New Roman" w:eastAsia="Times New Roman" w:hAnsi="Times New Roman"/>
          <w:b/>
          <w:bCs/>
          <w:color w:val="1A1A2E"/>
          <w:sz w:val="22"/>
          <w:szCs w:val="22"/>
        </w:rPr>
        <w:t xml:space="preserve">qBraid.  </w:t>
      </w:r>
      <w:r>
        <w:rPr>
          <w:rFonts w:ascii="Times New Roman" w:cs="Times New Roman" w:eastAsia="Times New Roman" w:hAnsi="Times New Roman"/>
          <w:color w:val="1A1A2E"/>
          <w:sz w:val="22"/>
          <w:szCs w:val="22"/>
        </w:rPr>
        <w:t xml:space="preserve">Our fully reproducible pipeline (`python qrc_pipeline.py`) and modular scaling/noise/QPU scripts demonstrate a practical, if incomplete, agentic quantum ML workflow on the platform.</w:t>
      </w:r>
    </w:p>
    <w:p>
      <w:pPr>
        <w:spacing w:after="72" w:before="36"/>
        <w:jc w:val="both"/>
      </w:pPr>
      <w:r>
        <w:rPr>
          <w:rFonts w:ascii="Times New Roman" w:cs="Times New Roman" w:eastAsia="Times New Roman" w:hAnsi="Times New Roman"/>
          <w:b/>
          <w:bCs/>
          <w:color w:val="1A1A2E"/>
          <w:sz w:val="22"/>
          <w:szCs w:val="22"/>
        </w:rPr>
        <w:t xml:space="preserve">Conclusion.  </w:t>
      </w:r>
      <w:r>
        <w:rPr>
          <w:rFonts w:ascii="Times New Roman" w:cs="Times New Roman" w:eastAsia="Times New Roman" w:hAnsi="Times New Roman"/>
          <w:color w:val="1A1A2E"/>
          <w:sz w:val="22"/>
          <w:szCs w:val="22"/>
        </w:rPr>
        <w:t xml:space="preserve">HF-QRC (N=8) is competitive with HAR/HAR-J and decisively better than GARCH/Persistence on 5-day S&amp;P 500 volatility forecasting, though not yet superior to ESN. Qubit scaling and noise studies at reduced sample sizes were inconclusive due to compute constraints, which we disclose rather than obscure. Real-hardware validation on IBM ibm_fez confirms the circuit executes correctly with ~14.3% raw fidelity loss. Future work should prioritise noise studies at full training-sample scale and a larger QPU shot budget for genuine benchmarking.</w:t>
      </w:r>
    </w:p>
    <w:p>
      <w:pPr>
        <w:pBdr>
          <w:bottom w:val="single" w:color="AAAACC" w:sz="5" w:space="1"/>
        </w:pBdr>
        <w:spacing w:after="44" w:before="44"/>
      </w:pPr>
    </w:p>
    <w:p>
      <w:pPr>
        <w:spacing w:after="36" w:before="24"/>
        <w:jc w:val="both"/>
      </w:pPr>
      <w:r>
        <w:rPr>
          <w:rFonts w:ascii="Times New Roman" w:cs="Times New Roman" w:eastAsia="Times New Roman" w:hAnsi="Times New Roman"/>
          <w:b/>
          <w:bCs/>
          <w:color w:val="1A1A2E"/>
          <w:sz w:val="22"/>
          <w:szCs w:val="22"/>
        </w:rPr>
        <w:t xml:space="preserve">AI Assistance Disclosure:  </w:t>
      </w:r>
      <w:r>
        <w:rPr>
          <w:rFonts w:ascii="Times New Roman" w:cs="Times New Roman" w:eastAsia="Times New Roman" w:hAnsi="Times New Roman"/>
          <w:i/>
          <w:iCs/>
          <w:color w:val="1A1A2E"/>
          <w:sz w:val="22"/>
          <w:szCs w:val="22"/>
        </w:rPr>
        <w:t xml:space="preserve">Drafted with Claude (Anthropic) for writing structure and code scaffolding. All technical formulations, experimental design, and results are the team's original work, per GIC 2026 rules.</w:t>
      </w:r>
    </w:p>
    <w:p>
      <w:pPr>
        <w:pBdr>
          <w:bottom w:val="single" w:color="AAAACC" w:sz="5" w:space="1"/>
        </w:pBdr>
        <w:spacing w:after="44" w:before="44"/>
      </w:pPr>
    </w:p>
    <w:p>
      <w:pPr>
        <w:spacing w:after="8" w:before="24"/>
      </w:pPr>
      <w:r>
        <w:rPr>
          <w:rFonts w:ascii="Times New Roman" w:cs="Times New Roman" w:eastAsia="Times New Roman" w:hAnsi="Times New Roman"/>
          <w:b/>
          <w:bCs/>
          <w:color w:val="1B4F72"/>
          <w:sz w:val="20"/>
          <w:szCs w:val="20"/>
        </w:rPr>
        <w:t xml:space="preserve">References</w:t>
      </w:r>
    </w:p>
    <w:p>
      <w:pPr>
        <w:spacing w:after="11" w:before="11"/>
      </w:pPr>
      <w:r>
        <w:rPr>
          <w:rFonts w:ascii="Times New Roman" w:cs="Times New Roman" w:eastAsia="Times New Roman" w:hAnsi="Times New Roman"/>
          <w:i/>
          <w:iCs/>
          <w:color w:val="556677"/>
          <w:sz w:val="18"/>
          <w:szCs w:val="18"/>
        </w:rPr>
        <w:t xml:space="preserve">[1] Kornjaca et al., arXiv:2407.02553 (2024).</w:t>
      </w:r>
    </w:p>
    <w:p>
      <w:pPr>
        <w:spacing w:after="11" w:before="11"/>
      </w:pPr>
      <w:r>
        <w:rPr>
          <w:rFonts w:ascii="Times New Roman" w:cs="Times New Roman" w:eastAsia="Times New Roman" w:hAnsi="Times New Roman"/>
          <w:i/>
          <w:iCs/>
          <w:color w:val="556677"/>
          <w:sz w:val="18"/>
          <w:szCs w:val="18"/>
        </w:rPr>
        <w:t xml:space="preserve">[2] Zhu et al., Phys. Rev. Research 7, 023290 (2025).</w:t>
      </w:r>
    </w:p>
    <w:p>
      <w:pPr>
        <w:spacing w:after="11" w:before="11"/>
      </w:pPr>
      <w:r>
        <w:rPr>
          <w:rFonts w:ascii="Times New Roman" w:cs="Times New Roman" w:eastAsia="Times New Roman" w:hAnsi="Times New Roman"/>
          <w:i/>
          <w:iCs/>
          <w:color w:val="556677"/>
          <w:sz w:val="18"/>
          <w:szCs w:val="18"/>
        </w:rPr>
        <w:t xml:space="preserve">[3] Ahmed et al., Proc. R. Soc. A 481, 20250550 (2025).</w:t>
      </w:r>
    </w:p>
    <w:p>
      <w:pPr>
        <w:spacing w:after="11" w:before="11"/>
      </w:pPr>
      <w:r>
        <w:rPr>
          <w:rFonts w:ascii="Times New Roman" w:cs="Times New Roman" w:eastAsia="Times New Roman" w:hAnsi="Times New Roman"/>
          <w:i/>
          <w:iCs/>
          <w:color w:val="556677"/>
          <w:sz w:val="18"/>
          <w:szCs w:val="18"/>
        </w:rPr>
        <w:t xml:space="preserve">[4] Li et al., arXiv:2505.13933 (2025).</w:t>
      </w:r>
    </w:p>
    <w:p>
      <w:pPr>
        <w:spacing w:after="11" w:before="11"/>
      </w:pPr>
      <w:r>
        <w:rPr>
          <w:rFonts w:ascii="Times New Roman" w:cs="Times New Roman" w:eastAsia="Times New Roman" w:hAnsi="Times New Roman"/>
          <w:i/>
          <w:iCs/>
          <w:color w:val="556677"/>
          <w:sz w:val="18"/>
          <w:szCs w:val="18"/>
        </w:rPr>
        <w:t xml:space="preserve">[5] Patton, J. Econometrics 160, 246-256 (2011).</w:t>
      </w:r>
    </w:p>
    <w:p>
      <w:pPr>
        <w:spacing w:after="11" w:before="11"/>
      </w:pPr>
      <w:r>
        <w:rPr>
          <w:rFonts w:ascii="Times New Roman" w:cs="Times New Roman" w:eastAsia="Times New Roman" w:hAnsi="Times New Roman"/>
          <w:i/>
          <w:iCs/>
          <w:color w:val="556677"/>
          <w:sz w:val="18"/>
          <w:szCs w:val="18"/>
        </w:rPr>
        <w:t xml:space="preserve">[6] Corsi, J. Financ. Econometrics 7(2), 174-196 (2009).</w:t>
      </w:r>
    </w:p>
    <w:p>
      <w:pPr>
        <w:spacing w:after="11" w:before="11"/>
      </w:pPr>
      <w:r>
        <w:rPr>
          <w:rFonts w:ascii="Times New Roman" w:cs="Times New Roman" w:eastAsia="Times New Roman" w:hAnsi="Times New Roman"/>
          <w:i/>
          <w:iCs/>
          <w:color w:val="556677"/>
          <w:sz w:val="18"/>
          <w:szCs w:val="18"/>
        </w:rPr>
        <w:t xml:space="preserve">[7] Bollerslev, J. Econometrics 31(3), 307-327 (1986).</w:t>
      </w:r>
    </w:p>
    <w:p>
      <w:pPr>
        <w:spacing w:after="11" w:before="11"/>
      </w:pPr>
      <w:r>
        <w:rPr>
          <w:rFonts w:ascii="Times New Roman" w:cs="Times New Roman" w:eastAsia="Times New Roman" w:hAnsi="Times New Roman"/>
          <w:i/>
          <w:iCs/>
          <w:color w:val="556677"/>
          <w:sz w:val="18"/>
          <w:szCs w:val="18"/>
        </w:rPr>
        <w:t xml:space="preserve">[8] Mincer &amp; Zarnowitz, in Economic Forecasts and Expectations, NBER (1969).</w:t>
      </w:r>
    </w:p>
    <w:p>
      <w:pPr>
        <w:spacing w:after="11" w:before="11"/>
      </w:pPr>
      <w:r>
        <w:rPr>
          <w:rFonts w:ascii="Times New Roman" w:cs="Times New Roman" w:eastAsia="Times New Roman" w:hAnsi="Times New Roman"/>
          <w:i/>
          <w:iCs/>
          <w:color w:val="556677"/>
          <w:sz w:val="18"/>
          <w:szCs w:val="18"/>
        </w:rPr>
        <w:t xml:space="preserve">[9] Jaeger, GMD Report 148 (2001).</w:t>
      </w:r>
    </w:p>
    <w:sectPr>
      <w:footerReference w:type="default" r:id="rId7"/>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88888"/>
        <w:sz w:val="16"/>
        <w:szCs w:val="16"/>
      </w:rPr>
      <w:t xml:space="preserve">GIC 2026  |  Qudit Creons  |  Phase 3 v2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2026-07-10T02:14:25.967Z</dcterms:created>
  <dcterms:modified xsi:type="dcterms:W3CDTF">2026-07-10T02:14:25.980Z</dcterms:modified>
</cp:coreProperties>
</file>

<file path=docProps/custom.xml><?xml version="1.0" encoding="utf-8"?>
<Properties xmlns="http://schemas.openxmlformats.org/officeDocument/2006/custom-properties" xmlns:vt="http://schemas.openxmlformats.org/officeDocument/2006/docPropsVTypes"/>
</file>