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ptos Display" w:hAnsi="Aptos Display"/>
          <w:b/>
          <w:i w:val="0"/>
          <w:color w:val="1B7F79"/>
          <w:sz w:val="22"/>
        </w:rPr>
        <w:t>VERIPATHWAYS</w:t>
      </w:r>
    </w:p>
    <w:p>
      <w:pPr>
        <w:spacing w:after="40"/>
      </w:pPr>
      <w:r>
        <w:rPr>
          <w:rFonts w:ascii="Aptos" w:hAnsi="Aptos"/>
          <w:b/>
          <w:i w:val="0"/>
          <w:color w:val="5F6F79"/>
          <w:sz w:val="18"/>
        </w:rPr>
        <w:t>PACKAGE 2</w:t>
      </w:r>
    </w:p>
    <w:p>
      <w:pPr>
        <w:keepNext/>
        <w:spacing w:after="80"/>
      </w:pPr>
      <w:r>
        <w:rPr>
          <w:rFonts w:ascii="Aptos Display" w:hAnsi="Aptos Display"/>
          <w:b/>
          <w:i w:val="0"/>
          <w:color w:val="173A52"/>
          <w:sz w:val="48"/>
        </w:rPr>
        <w:t>Application Document Review</w:t>
      </w:r>
    </w:p>
    <w:p>
      <w:pPr>
        <w:spacing w:after="240"/>
      </w:pPr>
      <w:r>
        <w:rPr>
          <w:rFonts w:ascii="Aptos" w:hAnsi="Aptos"/>
          <w:b w:val="0"/>
          <w:i/>
          <w:color w:val="5F6F79"/>
          <w:sz w:val="23"/>
        </w:rPr>
        <w:t>Professional perspective on how your completed application presents you as a whole person.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AF4F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A52"/>
                <w:sz w:val="21"/>
              </w:rPr>
              <w:t>Guiding your journey through higher education with confidence, purpose, and a long-term perspective.</w:t>
            </w:r>
          </w:p>
        </w:tc>
      </w:tr>
    </w:tbl>
    <w:p>
      <w:pPr>
        <w:pStyle w:val="Heading1"/>
      </w:pPr>
      <w:r>
        <w:t>Who this is for</w:t>
      </w:r>
    </w:p>
    <w:p>
      <w:r>
        <w:t>Designed for students, primarily in 11th and 12th grade, who are actively preparing college applications and do not need the broader college-goals, college-list, or affordability conversation.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550"/>
        <w:gridCol w:w="6810"/>
      </w:tblGrid>
      <w:tr>
        <w:trPr>
          <w:tblHeader w:val="true"/>
        </w:trPr>
        <w:tc>
          <w:tcPr>
            <w:tcW w:type="dxa" w:w="2550"/>
            <w:vAlign w:val="center"/>
            <w:shd w:fill="173A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BEST FIT</w:t>
            </w:r>
          </w:p>
        </w:tc>
        <w:tc>
          <w:tcPr>
            <w:tcW w:type="dxa" w:w="6810"/>
            <w:vAlign w:val="center"/>
            <w:shd w:fill="EAF4F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4333D"/>
                <w:sz w:val="19"/>
              </w:rPr>
              <w:t>ACTIVE APPLICATION REVIEW</w:t>
            </w:r>
          </w:p>
        </w:tc>
      </w:tr>
      <w:tr>
        <w:tc>
          <w:tcPr>
            <w:tcW w:type="dxa" w:w="2550"/>
            <w:vAlign w:val="center"/>
            <w:shd w:fill="F3F6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A52"/>
                <w:sz w:val="19"/>
              </w:rPr>
              <w:t>Typical stage</w:t>
            </w:r>
          </w:p>
        </w:tc>
        <w:tc>
          <w:tcPr>
            <w:tcW w:type="dxa" w:w="6810"/>
            <w:vAlign w:val="center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33D"/>
                <w:sz w:val="19"/>
              </w:rPr>
              <w:t>Primarily grades 11-12 with completed or near-completed materials</w:t>
            </w:r>
          </w:p>
        </w:tc>
      </w:tr>
      <w:tr>
        <w:tc>
          <w:tcPr>
            <w:tcW w:type="dxa" w:w="2550"/>
            <w:vAlign w:val="center"/>
            <w:shd w:fill="F3F6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A52"/>
                <w:sz w:val="19"/>
              </w:rPr>
              <w:t>Primary focus</w:t>
            </w:r>
          </w:p>
        </w:tc>
        <w:tc>
          <w:tcPr>
            <w:tcW w:type="dxa" w:w="6810"/>
            <w:vAlign w:val="center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33D"/>
                <w:sz w:val="19"/>
              </w:rPr>
              <w:t>How the application materials work together as one student profile</w:t>
            </w:r>
          </w:p>
        </w:tc>
      </w:tr>
      <w:tr>
        <w:tc>
          <w:tcPr>
            <w:tcW w:type="dxa" w:w="2550"/>
            <w:vAlign w:val="center"/>
            <w:shd w:fill="F3F6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A52"/>
                <w:sz w:val="19"/>
              </w:rPr>
              <w:t>Student's role</w:t>
            </w:r>
          </w:p>
        </w:tc>
        <w:tc>
          <w:tcPr>
            <w:tcW w:type="dxa" w:w="6810"/>
            <w:vAlign w:val="center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33D"/>
                <w:sz w:val="19"/>
              </w:rPr>
              <w:t>Write all content, make final revisions, and retain ownership of the application</w:t>
            </w:r>
          </w:p>
        </w:tc>
      </w:tr>
    </w:tbl>
    <w:p>
      <w:pPr>
        <w:pStyle w:val="Heading1"/>
      </w:pPr>
      <w:r>
        <w:t>What may be reviewed</w:t>
      </w:r>
    </w:p>
    <w:p>
      <w:pPr>
        <w:pStyle w:val="ListBullet"/>
      </w:pPr>
      <w:r>
        <w:t>Common Application or another agreed-upon core application</w:t>
      </w:r>
    </w:p>
    <w:p>
      <w:pPr>
        <w:pStyle w:val="ListBullet"/>
      </w:pPr>
      <w:r>
        <w:t>Activities section</w:t>
      </w:r>
    </w:p>
    <w:p>
      <w:pPr>
        <w:pStyle w:val="ListBullet"/>
      </w:pPr>
      <w:r>
        <w:t>Honors and awards</w:t>
      </w:r>
    </w:p>
    <w:p>
      <w:pPr>
        <w:pStyle w:val="ListBullet"/>
      </w:pPr>
      <w:r>
        <w:t>Personal statement</w:t>
      </w:r>
    </w:p>
    <w:p>
      <w:pPr>
        <w:pStyle w:val="ListBullet"/>
      </w:pPr>
      <w:r>
        <w:t>A defined number of supplemental essays or school-specific essay sets</w:t>
      </w:r>
    </w:p>
    <w:p>
      <w:pPr>
        <w:pStyle w:val="ListBullet"/>
      </w:pPr>
      <w:r>
        <w:t>Additional information section, when applicable</w:t>
      </w:r>
    </w:p>
    <w:p>
      <w:pPr>
        <w:pStyle w:val="ListBullet"/>
      </w:pPr>
      <w:r>
        <w:t>Other materials agreed upon before the review begins</w:t>
      </w:r>
    </w:p>
    <w:p>
      <w:pPr>
        <w:pStyle w:val="Heading1"/>
      </w:pPr>
      <w:r>
        <w:t>The VeriPathways review lens</w:t>
      </w:r>
    </w:p>
    <w:p>
      <w:r>
        <w:t>VeriPathways reads the application from the perspective of an experienced higher-education professional. Feedback focuses on what the materials collectively communicate - not on a formula for admission.</w:t>
      </w:r>
    </w:p>
    <w:p>
      <w:pPr>
        <w:pStyle w:val="ListBullet"/>
      </w:pPr>
      <w:r>
        <w:t>Clarity of the student's message and overall impression</w:t>
      </w:r>
    </w:p>
    <w:p>
      <w:pPr>
        <w:pStyle w:val="ListBullet"/>
      </w:pPr>
      <w:r>
        <w:t>Coherence across application sections</w:t>
      </w:r>
    </w:p>
    <w:p>
      <w:pPr>
        <w:pStyle w:val="ListBullet"/>
      </w:pPr>
      <w:r>
        <w:t>Whether experiences, interests, values, and goals are understandable in context</w:t>
      </w:r>
    </w:p>
    <w:p>
      <w:pPr>
        <w:pStyle w:val="ListBullet"/>
      </w:pPr>
      <w:r>
        <w:t>Whether the application feels authentic to the student</w:t>
      </w:r>
    </w:p>
    <w:p>
      <w:pPr>
        <w:pStyle w:val="ListBullet"/>
      </w:pPr>
      <w:r>
        <w:t>Areas that may be confusing, underexplained, or inconsistent</w:t>
      </w:r>
    </w:p>
    <w:p>
      <w:pPr>
        <w:pStyle w:val="ListBullet"/>
      </w:pPr>
      <w:r>
        <w:t>Questions a reader might naturally have</w:t>
      </w:r>
    </w:p>
    <w:p>
      <w:pPr>
        <w:pStyle w:val="ListBullet"/>
      </w:pPr>
      <w:r>
        <w:t>Opportunities for the student to clarify or strengthen their own presentation</w:t>
      </w:r>
    </w:p>
    <w:p>
      <w:pPr>
        <w:pStyle w:val="Heading1"/>
      </w:pPr>
      <w:r>
        <w:t>What this package does not include</w:t>
      </w:r>
    </w:p>
    <w:p>
      <w:pPr>
        <w:pStyle w:val="ListBullet"/>
      </w:pPr>
      <w:r>
        <w:t>College-list review, college-fit advising, or career-goal exploration</w:t>
      </w:r>
    </w:p>
    <w:p>
      <w:pPr>
        <w:pStyle w:val="ListBullet"/>
      </w:pPr>
      <w:r>
        <w:t>Financial or affordability discussion</w:t>
      </w:r>
    </w:p>
    <w:p>
      <w:pPr>
        <w:pStyle w:val="ListBullet"/>
      </w:pPr>
      <w:r>
        <w:t>Application rewriting or essay ghostwriting</w:t>
      </w:r>
    </w:p>
    <w:p>
      <w:pPr>
        <w:pStyle w:val="ListBullet"/>
      </w:pPr>
      <w:r>
        <w:t>Promises, predictions, or guarantees of admission</w:t>
      </w:r>
    </w:p>
    <w:p>
      <w:pPr>
        <w:pStyle w:val="ListBullet"/>
      </w:pPr>
      <w:r>
        <w:t>A formula for admission to a specific institution</w:t>
      </w:r>
    </w:p>
    <w:p>
      <w:pPr>
        <w:pStyle w:val="Heading1"/>
      </w:pPr>
      <w:r>
        <w:t>Client journey</w:t>
      </w:r>
    </w:p>
    <w:p>
      <w:pPr>
        <w:pStyle w:val="ListNumber"/>
      </w:pPr>
      <w:r>
        <w:t>Intake - The student submits the agreed-upon completed or near-completed materials.</w:t>
      </w:r>
    </w:p>
    <w:p>
      <w:pPr>
        <w:pStyle w:val="ListNumber"/>
      </w:pPr>
      <w:r>
        <w:t>Application document review - VeriPathways reads the materials as a complete profile.</w:t>
      </w:r>
    </w:p>
    <w:p>
      <w:pPr>
        <w:pStyle w:val="ListNumber"/>
      </w:pPr>
      <w:r>
        <w:t>Feedback - Strengths, uncertainties, questions, and opportunities for clearer communication are identified.</w:t>
      </w:r>
    </w:p>
    <w:p>
      <w:pPr>
        <w:pStyle w:val="ListNumber"/>
      </w:pPr>
      <w:r>
        <w:t>Student revision - The student decides how to incorporate feedback and makes their own revisions.</w:t>
      </w:r>
    </w:p>
    <w:p>
      <w:pPr>
        <w:pStyle w:val="ListNumber"/>
      </w:pPr>
      <w:r>
        <w:t>Optional follow-up - If included in the final scope, the student discusses feedback or submits a defined second review.</w:t>
      </w:r>
    </w:p>
    <w:p>
      <w:pPr>
        <w:pStyle w:val="Heading1"/>
      </w:pPr>
      <w:r>
        <w:t>Important boundaries</w:t>
      </w:r>
    </w:p>
    <w:p>
      <w:r>
        <w:rPr>
          <w:b/>
        </w:rPr>
        <w:t xml:space="preserve">Student authorship. </w:t>
      </w:r>
      <w:r>
        <w:t>The student remains responsible for all application content and final revisions. VeriPathways reviews and comments on materials but does not write essays or application responses on the student's behalf.</w:t>
      </w:r>
    </w:p>
    <w:p>
      <w:r>
        <w:rPr>
          <w:b/>
        </w:rPr>
        <w:t xml:space="preserve">Admissions outcomes. </w:t>
      </w:r>
      <w:r>
        <w:t>VeriPathways does not promise, predict, or guarantee admission to any college or university. Admissions decisions are made solely by the institutions to which the student applies.</w:t>
      </w:r>
    </w:p>
    <w:p>
      <w:r>
        <w:rPr>
          <w:b/>
        </w:rPr>
        <w:t xml:space="preserve">Financial considerations. </w:t>
      </w:r>
      <w:r>
        <w:t>Any discussion of college cost is intended to help families consider affordability as part of the college decision. It is not financial, tax, or investment advice.</w:t>
      </w:r>
    </w:p>
    <w:p>
      <w:pPr>
        <w:pStyle w:val="Heading1"/>
      </w:pPr>
      <w:r>
        <w:t>Scope to confirm before enrollment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550"/>
        <w:gridCol w:w="6810"/>
      </w:tblGrid>
      <w:tr>
        <w:trPr>
          <w:tblHeader w:val="true"/>
        </w:trPr>
        <w:tc>
          <w:tcPr>
            <w:tcW w:type="dxa" w:w="2550"/>
            <w:vAlign w:val="center"/>
            <w:shd w:fill="173A52"/>
            <w:tcMar>
              <w:top w:w="65" w:type="dxa"/>
              <w:start w:w="140" w:type="dxa"/>
              <w:bottom w:w="65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SERVICE DETAIL</w:t>
            </w:r>
          </w:p>
        </w:tc>
        <w:tc>
          <w:tcPr>
            <w:tcW w:type="dxa" w:w="6810"/>
            <w:vAlign w:val="center"/>
            <w:shd w:fill="EAF4F3"/>
            <w:tcMar>
              <w:top w:w="65" w:type="dxa"/>
              <w:start w:w="140" w:type="dxa"/>
              <w:bottom w:w="65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4333D"/>
                <w:sz w:val="18"/>
              </w:rPr>
              <w:t>CURRENT STATUS</w:t>
            </w:r>
          </w:p>
        </w:tc>
      </w:tr>
      <w:tr>
        <w:tc>
          <w:tcPr>
            <w:tcW w:type="dxa" w:w="2550"/>
            <w:vAlign w:val="center"/>
            <w:shd w:fill="F3F6F8"/>
            <w:tcMar>
              <w:top w:w="65" w:type="dxa"/>
              <w:start w:w="140" w:type="dxa"/>
              <w:bottom w:w="65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A52"/>
                <w:sz w:val="18"/>
              </w:rPr>
              <w:t>Price and duration / active period</w:t>
            </w:r>
          </w:p>
        </w:tc>
        <w:tc>
          <w:tcPr>
            <w:tcW w:type="dxa" w:w="6810"/>
            <w:vAlign w:val="center"/>
            <w:shd w:fill="FFFFFF"/>
            <w:tcMar>
              <w:top w:w="65" w:type="dxa"/>
              <w:start w:w="140" w:type="dxa"/>
              <w:bottom w:w="65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33D"/>
                <w:sz w:val="18"/>
              </w:rPr>
              <w:t>To be confirmed</w:t>
            </w:r>
          </w:p>
        </w:tc>
      </w:tr>
      <w:tr>
        <w:tc>
          <w:tcPr>
            <w:tcW w:type="dxa" w:w="2550"/>
            <w:vAlign w:val="center"/>
            <w:shd w:fill="F3F6F8"/>
            <w:tcMar>
              <w:top w:w="65" w:type="dxa"/>
              <w:start w:w="140" w:type="dxa"/>
              <w:bottom w:w="65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A52"/>
                <w:sz w:val="18"/>
              </w:rPr>
              <w:t>Applications and supplements included</w:t>
            </w:r>
          </w:p>
        </w:tc>
        <w:tc>
          <w:tcPr>
            <w:tcW w:type="dxa" w:w="6810"/>
            <w:vAlign w:val="center"/>
            <w:shd w:fill="FFFFFF"/>
            <w:tcMar>
              <w:top w:w="65" w:type="dxa"/>
              <w:start w:w="140" w:type="dxa"/>
              <w:bottom w:w="65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33D"/>
                <w:sz w:val="18"/>
              </w:rPr>
              <w:t>To be confirmed</w:t>
            </w:r>
          </w:p>
        </w:tc>
      </w:tr>
      <w:tr>
        <w:tc>
          <w:tcPr>
            <w:tcW w:type="dxa" w:w="2550"/>
            <w:vAlign w:val="center"/>
            <w:shd w:fill="F3F6F8"/>
            <w:tcMar>
              <w:top w:w="65" w:type="dxa"/>
              <w:start w:w="140" w:type="dxa"/>
              <w:bottom w:w="65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A52"/>
                <w:sz w:val="18"/>
              </w:rPr>
              <w:t>Review cycles and feedback format</w:t>
            </w:r>
          </w:p>
        </w:tc>
        <w:tc>
          <w:tcPr>
            <w:tcW w:type="dxa" w:w="6810"/>
            <w:vAlign w:val="center"/>
            <w:shd w:fill="FFFFFF"/>
            <w:tcMar>
              <w:top w:w="65" w:type="dxa"/>
              <w:start w:w="140" w:type="dxa"/>
              <w:bottom w:w="65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33D"/>
                <w:sz w:val="18"/>
              </w:rPr>
              <w:t>To be confirmed</w:t>
            </w:r>
          </w:p>
        </w:tc>
      </w:tr>
      <w:tr>
        <w:tc>
          <w:tcPr>
            <w:tcW w:type="dxa" w:w="2550"/>
            <w:vAlign w:val="center"/>
            <w:shd w:fill="F3F6F8"/>
            <w:tcMar>
              <w:top w:w="65" w:type="dxa"/>
              <w:start w:w="140" w:type="dxa"/>
              <w:bottom w:w="65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A52"/>
                <w:sz w:val="18"/>
              </w:rPr>
              <w:t>Turnaround and communication access</w:t>
            </w:r>
          </w:p>
        </w:tc>
        <w:tc>
          <w:tcPr>
            <w:tcW w:type="dxa" w:w="6810"/>
            <w:vAlign w:val="center"/>
            <w:shd w:fill="FFFFFF"/>
            <w:tcMar>
              <w:top w:w="65" w:type="dxa"/>
              <w:start w:w="140" w:type="dxa"/>
              <w:bottom w:w="65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33D"/>
                <w:sz w:val="18"/>
              </w:rPr>
              <w:t>To be confirmed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864" w:left="1224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/>
        <w:i w:val="0"/>
        <w:color w:val="5F6F79"/>
        <w:sz w:val="17"/>
      </w:rPr>
      <w:t xml:space="preserve">VERIPATHWAYS  |  </w:t>
    </w:r>
    <w:r>
      <w:rPr>
        <w:rFonts w:ascii="Aptos" w:hAnsi="Aptos"/>
        <w:b w:val="0"/>
        <w:i w:val="0"/>
        <w:color w:val="5F6F79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2433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A5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B7F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A5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60" w:hanging="259"/>
      <w:contextualSpacing/>
    </w:pPr>
    <w:rPr>
      <w:rFonts w:ascii="Aptos" w:hAnsi="Aptos"/>
      <w:color w:val="24333D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60" w:hanging="259"/>
      <w:contextualSpacing/>
    </w:pPr>
    <w:rPr>
      <w:rFonts w:ascii="Aptos" w:hAnsi="Aptos"/>
      <w:color w:val="24333D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Application Document Review</dc:title>
  <dc:subject>VeriPathways college application services</dc:subject>
  <dc:creator>VeriPathways</dc:creator>
  <cp:keywords>VeriPathways, college applications, student advising</cp:keywords>
  <dc:description>Client-facing working draft based on the approved service framework.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