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i w:val="0"/>
          <w:color w:val="1B7F79"/>
          <w:sz w:val="22"/>
        </w:rPr>
        <w:t>VERIPATHWAYS</w:t>
      </w:r>
    </w:p>
    <w:p>
      <w:pPr>
        <w:spacing w:after="40"/>
      </w:pPr>
      <w:r>
        <w:rPr>
          <w:rFonts w:ascii="Aptos" w:hAnsi="Aptos"/>
          <w:b/>
          <w:i w:val="0"/>
          <w:color w:val="5F6F79"/>
          <w:sz w:val="18"/>
        </w:rPr>
        <w:t>PACKAGE 1</w:t>
      </w:r>
    </w:p>
    <w:p>
      <w:pPr>
        <w:keepNext/>
        <w:spacing w:after="80"/>
      </w:pPr>
      <w:r>
        <w:rPr>
          <w:rFonts w:ascii="Aptos Display" w:hAnsi="Aptos Display"/>
          <w:b/>
          <w:i w:val="0"/>
          <w:color w:val="173A52"/>
          <w:sz w:val="48"/>
        </w:rPr>
        <w:t>College Conversation + Application Review</w:t>
      </w:r>
    </w:p>
    <w:p>
      <w:pPr>
        <w:spacing w:after="240"/>
      </w:pPr>
      <w:r>
        <w:rPr>
          <w:rFonts w:ascii="Aptos" w:hAnsi="Aptos"/>
          <w:b w:val="0"/>
          <w:i/>
          <w:color w:val="5F6F79"/>
          <w:sz w:val="23"/>
        </w:rPr>
        <w:t>Begin with the bigger college questions. Apply with a clearer sense of purpose.</w:t>
      </w:r>
    </w:p>
    <w:tbl>
      <w:tblPr>
        <w:tblW w:type="dxa" w:w="9360"/>
        <w:jc w:val="left"/>
        <w:tblLayout w:type="fixed"/>
        <w:tblLook w:firstColumn="1" w:firstRow="1" w:lastColumn="0" w:lastRow="0" w:noHBand="0" w:noVBand="1" w:val="04A0"/>
        <w:tblInd w:w="0" w:type="dxa"/>
      </w:tblPr>
      <w:tblGrid>
        <w:gridCol w:w="9360"/>
      </w:tblGrid>
      <w:tr>
        <w:trPr>
          <w:tblHeader w:val="true"/>
        </w:trPr>
        <w:tc>
          <w:tcPr>
            <w:tcW w:type="dxa" w:w="9360"/>
            <w:shd w:fill="EAF4F3"/>
            <w:tcMar>
              <w:top w:w="120" w:type="dxa"/>
              <w:start w:w="140" w:type="dxa"/>
              <w:bottom w:w="120" w:type="dxa"/>
              <w:end w:w="140" w:type="dxa"/>
            </w:tcMar>
          </w:tcPr>
          <w:p>
            <w:pPr>
              <w:spacing w:after="0"/>
            </w:pPr>
            <w:r>
              <w:rPr>
                <w:rFonts w:ascii="Aptos" w:hAnsi="Aptos"/>
                <w:b/>
                <w:i w:val="0"/>
                <w:color w:val="173A52"/>
                <w:sz w:val="21"/>
              </w:rPr>
              <w:t>Guiding your journey through higher education with confidence, purpose, and a long-term perspective.</w:t>
            </w:r>
          </w:p>
        </w:tc>
      </w:tr>
    </w:tbl>
    <w:p>
      <w:pPr>
        <w:pStyle w:val="Heading1"/>
      </w:pPr>
      <w:r>
        <w:t>Who this is for</w:t>
      </w:r>
    </w:p>
    <w:p>
      <w:r>
        <w:t>Designed primarily for students in 10th and 11th grade who want to begin the college conversation before they are deep into the application process. The student and family have time to clarify what matters, examine possible colleges through that lens, and prepare for the application stage without chasing a promised admissions outcome.</w:t>
      </w:r>
    </w:p>
    <w:tbl>
      <w:tblPr>
        <w:tblW w:type="dxa" w:w="9360"/>
        <w:jc w:val="left"/>
        <w:tblLayout w:type="fixed"/>
        <w:tblLook w:firstColumn="1" w:firstRow="1" w:lastColumn="0" w:lastRow="0" w:noHBand="0" w:noVBand="1" w:val="04A0"/>
        <w:tblInd w:w="0" w:type="dxa"/>
      </w:tblPr>
      <w:tblGrid>
        <w:gridCol w:w="2550"/>
        <w:gridCol w:w="6810"/>
      </w:tblGrid>
      <w:tr>
        <w:trPr>
          <w:tblHeader w:val="true"/>
        </w:trPr>
        <w:tc>
          <w:tcPr>
            <w:tcW w:type="dxa" w:w="2550"/>
            <w:vAlign w:val="center"/>
            <w:shd w:fill="173A52"/>
            <w:tcMar>
              <w:top w:w="120" w:type="dxa"/>
              <w:start w:w="140" w:type="dxa"/>
              <w:bottom w:w="120" w:type="dxa"/>
              <w:end w:w="140" w:type="dxa"/>
            </w:tcMar>
          </w:tcPr>
          <w:p>
            <w:pPr>
              <w:spacing w:after="0"/>
            </w:pPr>
            <w:r>
              <w:rPr>
                <w:rFonts w:ascii="Aptos" w:hAnsi="Aptos"/>
                <w:b/>
                <w:i w:val="0"/>
                <w:color w:val="FFFFFF"/>
                <w:sz w:val="19"/>
              </w:rPr>
              <w:t>BEST FIT</w:t>
            </w:r>
          </w:p>
        </w:tc>
        <w:tc>
          <w:tcPr>
            <w:tcW w:type="dxa" w:w="6810"/>
            <w:vAlign w:val="center"/>
            <w:shd w:fill="EAF4F3"/>
            <w:tcMar>
              <w:top w:w="120" w:type="dxa"/>
              <w:start w:w="140" w:type="dxa"/>
              <w:bottom w:w="120" w:type="dxa"/>
              <w:end w:w="140" w:type="dxa"/>
            </w:tcMar>
          </w:tcPr>
          <w:p>
            <w:pPr>
              <w:spacing w:after="0"/>
            </w:pPr>
            <w:r>
              <w:rPr>
                <w:rFonts w:ascii="Aptos" w:hAnsi="Aptos"/>
                <w:b/>
                <w:i w:val="0"/>
                <w:color w:val="24333D"/>
                <w:sz w:val="19"/>
              </w:rPr>
              <w:t>EARLY COLLEGE EXPLORATION + LATER APPLICATION REVIEW</w:t>
            </w:r>
          </w:p>
        </w:tc>
      </w:tr>
      <w:tr>
        <w:tc>
          <w:tcPr>
            <w:tcW w:type="dxa" w:w="2550"/>
            <w:vAlign w:val="center"/>
            <w:shd w:fill="F3F6F8"/>
            <w:tcMar>
              <w:top w:w="120" w:type="dxa"/>
              <w:start w:w="140" w:type="dxa"/>
              <w:bottom w:w="120" w:type="dxa"/>
              <w:end w:w="140" w:type="dxa"/>
            </w:tcMar>
          </w:tcPr>
          <w:p>
            <w:pPr>
              <w:spacing w:after="0"/>
            </w:pPr>
            <w:r>
              <w:rPr>
                <w:rFonts w:ascii="Aptos" w:hAnsi="Aptos"/>
                <w:b/>
                <w:i w:val="0"/>
                <w:color w:val="173A52"/>
                <w:sz w:val="19"/>
              </w:rPr>
              <w:t>Typical stage</w:t>
            </w:r>
          </w:p>
        </w:tc>
        <w:tc>
          <w:tcPr>
            <w:tcW w:type="dxa" w:w="6810"/>
            <w:vAlign w:val="center"/>
            <w:shd w:fill="FFFFFF"/>
            <w:tcMar>
              <w:top w:w="120" w:type="dxa"/>
              <w:start w:w="140" w:type="dxa"/>
              <w:bottom w:w="120" w:type="dxa"/>
              <w:end w:w="140" w:type="dxa"/>
            </w:tcMar>
          </w:tcPr>
          <w:p>
            <w:pPr>
              <w:spacing w:after="0"/>
            </w:pPr>
            <w:r>
              <w:rPr>
                <w:rFonts w:ascii="Aptos" w:hAnsi="Aptos"/>
                <w:b w:val="0"/>
                <w:i w:val="0"/>
                <w:color w:val="24333D"/>
                <w:sz w:val="19"/>
              </w:rPr>
              <w:t>Primarily grades 10-11; other grades may be considered based on need</w:t>
            </w:r>
          </w:p>
        </w:tc>
      </w:tr>
      <w:tr>
        <w:tc>
          <w:tcPr>
            <w:tcW w:type="dxa" w:w="2550"/>
            <w:vAlign w:val="center"/>
            <w:shd w:fill="F3F6F8"/>
            <w:tcMar>
              <w:top w:w="120" w:type="dxa"/>
              <w:start w:w="140" w:type="dxa"/>
              <w:bottom w:w="120" w:type="dxa"/>
              <w:end w:w="140" w:type="dxa"/>
            </w:tcMar>
          </w:tcPr>
          <w:p>
            <w:pPr>
              <w:spacing w:after="0"/>
            </w:pPr>
            <w:r>
              <w:rPr>
                <w:rFonts w:ascii="Aptos" w:hAnsi="Aptos"/>
                <w:b/>
                <w:i w:val="0"/>
                <w:color w:val="173A52"/>
                <w:sz w:val="19"/>
              </w:rPr>
              <w:t>Primary focus</w:t>
            </w:r>
          </w:p>
        </w:tc>
        <w:tc>
          <w:tcPr>
            <w:tcW w:type="dxa" w:w="6810"/>
            <w:vAlign w:val="center"/>
            <w:shd w:fill="FFFFFF"/>
            <w:tcMar>
              <w:top w:w="120" w:type="dxa"/>
              <w:start w:w="140" w:type="dxa"/>
              <w:bottom w:w="120" w:type="dxa"/>
              <w:end w:w="140" w:type="dxa"/>
            </w:tcMar>
          </w:tcPr>
          <w:p>
            <w:pPr>
              <w:spacing w:after="0"/>
            </w:pPr>
            <w:r>
              <w:rPr>
                <w:rFonts w:ascii="Aptos" w:hAnsi="Aptos"/>
                <w:b w:val="0"/>
                <w:i w:val="0"/>
                <w:color w:val="24333D"/>
                <w:sz w:val="19"/>
              </w:rPr>
              <w:t>Goals, college experience, college list, practical considerations, and application profile</w:t>
            </w:r>
          </w:p>
        </w:tc>
      </w:tr>
      <w:tr>
        <w:tc>
          <w:tcPr>
            <w:tcW w:type="dxa" w:w="2550"/>
            <w:vAlign w:val="center"/>
            <w:shd w:fill="F3F6F8"/>
            <w:tcMar>
              <w:top w:w="120" w:type="dxa"/>
              <w:start w:w="140" w:type="dxa"/>
              <w:bottom w:w="120" w:type="dxa"/>
              <w:end w:w="140" w:type="dxa"/>
            </w:tcMar>
          </w:tcPr>
          <w:p>
            <w:pPr>
              <w:spacing w:after="0"/>
            </w:pPr>
            <w:r>
              <w:rPr>
                <w:rFonts w:ascii="Aptos" w:hAnsi="Aptos"/>
                <w:b/>
                <w:i w:val="0"/>
                <w:color w:val="173A52"/>
                <w:sz w:val="19"/>
              </w:rPr>
              <w:t>Student's role</w:t>
            </w:r>
          </w:p>
        </w:tc>
        <w:tc>
          <w:tcPr>
            <w:tcW w:type="dxa" w:w="6810"/>
            <w:vAlign w:val="center"/>
            <w:shd w:fill="FFFFFF"/>
            <w:tcMar>
              <w:top w:w="120" w:type="dxa"/>
              <w:start w:w="140" w:type="dxa"/>
              <w:bottom w:w="120" w:type="dxa"/>
              <w:end w:w="140" w:type="dxa"/>
            </w:tcMar>
          </w:tcPr>
          <w:p>
            <w:pPr>
              <w:spacing w:after="0"/>
            </w:pPr>
            <w:r>
              <w:rPr>
                <w:rFonts w:ascii="Aptos" w:hAnsi="Aptos"/>
                <w:b w:val="0"/>
                <w:i w:val="0"/>
                <w:color w:val="24333D"/>
                <w:sz w:val="19"/>
              </w:rPr>
              <w:t>Own the choices, write the application, and decide how to use feedback</w:t>
            </w:r>
          </w:p>
        </w:tc>
      </w:tr>
    </w:tbl>
    <w:p>
      <w:pPr>
        <w:pStyle w:val="Heading1"/>
      </w:pPr>
      <w:r>
        <w:t>What the package includes</w:t>
      </w:r>
    </w:p>
    <w:p>
      <w:r>
        <w:t>Four connected areas of support keep the student at the center of the process.</w:t>
      </w:r>
    </w:p>
    <w:p>
      <w:pPr>
        <w:pStyle w:val="Heading2"/>
      </w:pPr>
      <w:r>
        <w:t>1. College goals conversation</w:t>
      </w:r>
    </w:p>
    <w:p>
      <w:pPr>
        <w:pStyle w:val="ListBullet"/>
      </w:pPr>
      <w:r>
        <w:t>Academic interests, possible majors, and early career goals</w:t>
      </w:r>
    </w:p>
    <w:p>
      <w:pPr>
        <w:pStyle w:val="ListBullet"/>
      </w:pPr>
      <w:r>
        <w:t>What the student hopes to learn, experience, and explore during four years of college</w:t>
      </w:r>
    </w:p>
    <w:p>
      <w:pPr>
        <w:pStyle w:val="ListBullet"/>
      </w:pPr>
      <w:r>
        <w:t>Desired challenge, faculty access, mentorship, research, internships, service, entrepreneurship, or clinical exposure</w:t>
      </w:r>
    </w:p>
    <w:p>
      <w:pPr>
        <w:pStyle w:val="ListBullet"/>
      </w:pPr>
      <w:r>
        <w:t>Campus size, location, setting, culture, residential experience, and quality-of-life priorities</w:t>
      </w:r>
    </w:p>
    <w:p>
      <w:pPr>
        <w:pStyle w:val="Heading2"/>
      </w:pPr>
      <w:r>
        <w:t>2. College list review</w:t>
      </w:r>
    </w:p>
    <w:p>
      <w:pPr>
        <w:pStyle w:val="ListBullet"/>
      </w:pPr>
      <w:r>
        <w:t>Whether the list reflects what the student says they want</w:t>
      </w:r>
    </w:p>
    <w:p>
      <w:pPr>
        <w:pStyle w:val="ListBullet"/>
      </w:pPr>
      <w:r>
        <w:t>Meaningful differences among institutions and admissions-selectivity balance</w:t>
      </w:r>
    </w:p>
    <w:p>
      <w:pPr>
        <w:pStyle w:val="ListBullet"/>
      </w:pPr>
      <w:r>
        <w:t>The influence of reputation, marketing, outside pressure, and personal fit</w:t>
      </w:r>
    </w:p>
    <w:p>
      <w:pPr>
        <w:pStyle w:val="ListBullet"/>
      </w:pPr>
      <w:r>
        <w:t>Whether the student would realistically want to attend each school if admitted</w:t>
      </w:r>
    </w:p>
    <w:p>
      <w:pPr>
        <w:pStyle w:val="Heading2"/>
      </w:pPr>
      <w:r>
        <w:t>3. Cost and family financial conversation</w:t>
      </w:r>
    </w:p>
    <w:p>
      <w:pPr>
        <w:pStyle w:val="ListBullet"/>
      </w:pPr>
      <w:r>
        <w:t>Approximate cost of attendance and the family's realistic budget</w:t>
      </w:r>
    </w:p>
    <w:p>
      <w:pPr>
        <w:pStyle w:val="ListBullet"/>
      </w:pPr>
      <w:r>
        <w:t>Alignment between the student and family about willingness to pay</w:t>
      </w:r>
    </w:p>
    <w:p>
      <w:pPr>
        <w:pStyle w:val="ListBullet"/>
      </w:pPr>
      <w:r>
        <w:t>Whether each option remains realistic if aid or scholarships are limited</w:t>
      </w:r>
    </w:p>
    <w:p>
      <w:pPr>
        <w:pStyle w:val="Heading2"/>
      </w:pPr>
      <w:r>
        <w:t>4. Application document review</w:t>
      </w:r>
    </w:p>
    <w:p>
      <w:r>
        <w:t>At the active application stage, VeriPathways reviews completed or near-completed materials as one profile and provides professional feedback on how clearly and cohesively the student's experiences, interests, goals, and perspective come through.</w:t>
      </w:r>
    </w:p>
    <w:p>
      <w:pPr>
        <w:pStyle w:val="ListBullet"/>
      </w:pPr>
      <w:r>
        <w:t>Core application or equivalent platform</w:t>
      </w:r>
    </w:p>
    <w:p>
      <w:pPr>
        <w:pStyle w:val="ListBullet"/>
      </w:pPr>
      <w:r>
        <w:t>Activities, honors, and awards sections</w:t>
      </w:r>
    </w:p>
    <w:p>
      <w:pPr>
        <w:pStyle w:val="ListBullet"/>
      </w:pPr>
      <w:r>
        <w:t>Personal statement and a defined number of supplemental essays</w:t>
      </w:r>
    </w:p>
    <w:p>
      <w:pPr>
        <w:pStyle w:val="ListBullet"/>
      </w:pPr>
      <w:r>
        <w:t>Additional information and other agreed-upon materials</w:t>
      </w:r>
    </w:p>
    <w:p>
      <w:pPr>
        <w:pStyle w:val="Heading1"/>
      </w:pPr>
      <w:r>
        <w:t>What the review looks for</w:t>
      </w:r>
    </w:p>
    <w:p>
      <w:pPr>
        <w:pStyle w:val="ListBullet"/>
      </w:pPr>
      <w:r>
        <w:t>The overall impression created by the complete application</w:t>
      </w:r>
    </w:p>
    <w:p>
      <w:pPr>
        <w:pStyle w:val="ListBullet"/>
      </w:pPr>
      <w:r>
        <w:t>Clarity, coherence, authenticity, and context across sections</w:t>
      </w:r>
    </w:p>
    <w:p>
      <w:pPr>
        <w:pStyle w:val="ListBullet"/>
      </w:pPr>
      <w:r>
        <w:t>Whether the student's interests, values, experiences, and intended message are understandable</w:t>
      </w:r>
    </w:p>
    <w:p>
      <w:pPr>
        <w:pStyle w:val="ListBullet"/>
      </w:pPr>
      <w:r>
        <w:t>Questions, gaps, or inconsistencies a reader may notice</w:t>
      </w:r>
    </w:p>
    <w:p>
      <w:pPr>
        <w:pStyle w:val="ListBullet"/>
      </w:pPr>
      <w:r>
        <w:t>Opportunities for the student to clarify or strengthen their own presentation</w:t>
      </w:r>
    </w:p>
    <w:p>
      <w:pPr>
        <w:pStyle w:val="Heading1"/>
      </w:pPr>
      <w:r>
        <w:t>Client journey</w:t>
      </w:r>
    </w:p>
    <w:p>
      <w:pPr>
        <w:pStyle w:val="ListNumber"/>
      </w:pPr>
      <w:r>
        <w:t>Intake - Student and family share background, interests, and initial school ideas.</w:t>
      </w:r>
    </w:p>
    <w:p>
      <w:pPr>
        <w:pStyle w:val="ListNumber"/>
      </w:pPr>
      <w:r>
        <w:t>College conversation - The student explores goals, priorities, and the desired college experience.</w:t>
      </w:r>
    </w:p>
    <w:p>
      <w:pPr>
        <w:pStyle w:val="ListNumber"/>
      </w:pPr>
      <w:r>
        <w:t>College list review - VeriPathways examines the list in the context of those priorities.</w:t>
      </w:r>
    </w:p>
    <w:p>
      <w:pPr>
        <w:pStyle w:val="ListNumber"/>
      </w:pPr>
      <w:r>
        <w:t>Cost conversation - The family considers affordability and willingness to pay.</w:t>
      </w:r>
    </w:p>
    <w:p>
      <w:pPr>
        <w:pStyle w:val="ListNumber"/>
      </w:pPr>
      <w:r>
        <w:t>Application stage - The student prepares their own materials.</w:t>
      </w:r>
    </w:p>
    <w:p>
      <w:pPr>
        <w:pStyle w:val="ListNumber"/>
      </w:pPr>
      <w:r>
        <w:t>Application review and feedback - VeriPathways reviews the profile; the student makes final revisions.</w:t>
      </w:r>
    </w:p>
    <w:p>
      <w:pPr>
        <w:pStyle w:val="Heading1"/>
      </w:pPr>
      <w:r>
        <w:t>Important boundaries</w:t>
      </w:r>
    </w:p>
    <w:p>
      <w:r>
        <w:rPr>
          <w:b/>
        </w:rPr>
        <w:t xml:space="preserve">Student authorship. </w:t>
      </w:r>
      <w:r>
        <w:t>The student remains responsible for all application content and final revisions. VeriPathways reviews and comments on materials but does not write essays or application responses on the student's behalf.</w:t>
      </w:r>
    </w:p>
    <w:p>
      <w:r>
        <w:rPr>
          <w:b/>
        </w:rPr>
        <w:t xml:space="preserve">Admissions outcomes. </w:t>
      </w:r>
      <w:r>
        <w:t>VeriPathways does not promise, predict, or guarantee admission to any college or university. Admissions decisions are made solely by the institutions to which the student applies.</w:t>
      </w:r>
    </w:p>
    <w:p>
      <w:r>
        <w:rPr>
          <w:b/>
        </w:rPr>
        <w:t xml:space="preserve">Financial considerations. </w:t>
      </w:r>
      <w:r>
        <w:t>Any discussion of college cost is intended to help families consider affordability as part of the college decision. It is not financial, tax, or investment advice.</w:t>
      </w:r>
    </w:p>
    <w:p>
      <w:pPr>
        <w:pStyle w:val="Heading1"/>
      </w:pPr>
      <w:r>
        <w:t>Scope to confirm before enrollment</w:t>
      </w:r>
    </w:p>
    <w:tbl>
      <w:tblPr>
        <w:tblW w:type="dxa" w:w="9360"/>
        <w:jc w:val="left"/>
        <w:tblLayout w:type="fixed"/>
        <w:tblLook w:firstColumn="1" w:firstRow="1" w:lastColumn="0" w:lastRow="0" w:noHBand="0" w:noVBand="1" w:val="04A0"/>
        <w:tblInd w:w="0" w:type="dxa"/>
      </w:tblPr>
      <w:tblGrid>
        <w:gridCol w:w="2550"/>
        <w:gridCol w:w="6810"/>
      </w:tblGrid>
      <w:tr>
        <w:trPr>
          <w:tblHeader w:val="true"/>
        </w:trPr>
        <w:tc>
          <w:tcPr>
            <w:tcW w:type="dxa" w:w="2550"/>
            <w:vAlign w:val="center"/>
            <w:shd w:fill="173A52"/>
            <w:tcMar>
              <w:top w:w="65" w:type="dxa"/>
              <w:start w:w="140" w:type="dxa"/>
              <w:bottom w:w="65" w:type="dxa"/>
              <w:end w:w="140" w:type="dxa"/>
            </w:tcMar>
          </w:tcPr>
          <w:p>
            <w:pPr>
              <w:spacing w:after="0"/>
            </w:pPr>
            <w:r>
              <w:rPr>
                <w:rFonts w:ascii="Aptos" w:hAnsi="Aptos"/>
                <w:b/>
                <w:i w:val="0"/>
                <w:color w:val="FFFFFF"/>
                <w:sz w:val="18"/>
              </w:rPr>
              <w:t>SERVICE DETAIL</w:t>
            </w:r>
          </w:p>
        </w:tc>
        <w:tc>
          <w:tcPr>
            <w:tcW w:type="dxa" w:w="6810"/>
            <w:vAlign w:val="center"/>
            <w:shd w:fill="EAF4F3"/>
            <w:tcMar>
              <w:top w:w="65" w:type="dxa"/>
              <w:start w:w="140" w:type="dxa"/>
              <w:bottom w:w="65" w:type="dxa"/>
              <w:end w:w="140" w:type="dxa"/>
            </w:tcMar>
          </w:tcPr>
          <w:p>
            <w:pPr>
              <w:spacing w:after="0"/>
            </w:pPr>
            <w:r>
              <w:rPr>
                <w:rFonts w:ascii="Aptos" w:hAnsi="Aptos"/>
                <w:b/>
                <w:i w:val="0"/>
                <w:color w:val="24333D"/>
                <w:sz w:val="18"/>
              </w:rPr>
              <w:t>CURRENT STATUS</w:t>
            </w:r>
          </w:p>
        </w:tc>
      </w:tr>
      <w:tr>
        <w:tc>
          <w:tcPr>
            <w:tcW w:type="dxa" w:w="2550"/>
            <w:vAlign w:val="center"/>
            <w:shd w:fill="F3F6F8"/>
            <w:tcMar>
              <w:top w:w="65" w:type="dxa"/>
              <w:start w:w="140" w:type="dxa"/>
              <w:bottom w:w="65" w:type="dxa"/>
              <w:end w:w="140" w:type="dxa"/>
            </w:tcMar>
          </w:tcPr>
          <w:p>
            <w:pPr>
              <w:spacing w:after="0"/>
            </w:pPr>
            <w:r>
              <w:rPr>
                <w:rFonts w:ascii="Aptos" w:hAnsi="Aptos"/>
                <w:b/>
                <w:i w:val="0"/>
                <w:color w:val="173A52"/>
                <w:sz w:val="18"/>
              </w:rPr>
              <w:t>Price and duration / active period</w:t>
            </w:r>
          </w:p>
        </w:tc>
        <w:tc>
          <w:tcPr>
            <w:tcW w:type="dxa" w:w="6810"/>
            <w:vAlign w:val="center"/>
            <w:shd w:fill="FFFFFF"/>
            <w:tcMar>
              <w:top w:w="65" w:type="dxa"/>
              <w:start w:w="140" w:type="dxa"/>
              <w:bottom w:w="65" w:type="dxa"/>
              <w:end w:w="140" w:type="dxa"/>
            </w:tcMar>
          </w:tcPr>
          <w:p>
            <w:pPr>
              <w:spacing w:after="0"/>
            </w:pPr>
            <w:r>
              <w:rPr>
                <w:rFonts w:ascii="Aptos" w:hAnsi="Aptos"/>
                <w:b w:val="0"/>
                <w:i w:val="0"/>
                <w:color w:val="24333D"/>
                <w:sz w:val="18"/>
              </w:rPr>
              <w:t>To be confirmed</w:t>
            </w:r>
          </w:p>
        </w:tc>
      </w:tr>
      <w:tr>
        <w:tc>
          <w:tcPr>
            <w:tcW w:type="dxa" w:w="2550"/>
            <w:vAlign w:val="center"/>
            <w:shd w:fill="F3F6F8"/>
            <w:tcMar>
              <w:top w:w="65" w:type="dxa"/>
              <w:start w:w="140" w:type="dxa"/>
              <w:bottom w:w="65" w:type="dxa"/>
              <w:end w:w="140" w:type="dxa"/>
            </w:tcMar>
          </w:tcPr>
          <w:p>
            <w:pPr>
              <w:spacing w:after="0"/>
            </w:pPr>
            <w:r>
              <w:rPr>
                <w:rFonts w:ascii="Aptos" w:hAnsi="Aptos"/>
                <w:b/>
                <w:i w:val="0"/>
                <w:color w:val="173A52"/>
                <w:sz w:val="18"/>
              </w:rPr>
              <w:t>Applications and supplements included</w:t>
            </w:r>
          </w:p>
        </w:tc>
        <w:tc>
          <w:tcPr>
            <w:tcW w:type="dxa" w:w="6810"/>
            <w:vAlign w:val="center"/>
            <w:shd w:fill="FFFFFF"/>
            <w:tcMar>
              <w:top w:w="65" w:type="dxa"/>
              <w:start w:w="140" w:type="dxa"/>
              <w:bottom w:w="65" w:type="dxa"/>
              <w:end w:w="140" w:type="dxa"/>
            </w:tcMar>
          </w:tcPr>
          <w:p>
            <w:pPr>
              <w:spacing w:after="0"/>
            </w:pPr>
            <w:r>
              <w:rPr>
                <w:rFonts w:ascii="Aptos" w:hAnsi="Aptos"/>
                <w:b w:val="0"/>
                <w:i w:val="0"/>
                <w:color w:val="24333D"/>
                <w:sz w:val="18"/>
              </w:rPr>
              <w:t>To be confirmed</w:t>
            </w:r>
          </w:p>
        </w:tc>
      </w:tr>
      <w:tr>
        <w:tc>
          <w:tcPr>
            <w:tcW w:type="dxa" w:w="2550"/>
            <w:vAlign w:val="center"/>
            <w:shd w:fill="F3F6F8"/>
            <w:tcMar>
              <w:top w:w="65" w:type="dxa"/>
              <w:start w:w="140" w:type="dxa"/>
              <w:bottom w:w="65" w:type="dxa"/>
              <w:end w:w="140" w:type="dxa"/>
            </w:tcMar>
          </w:tcPr>
          <w:p>
            <w:pPr>
              <w:spacing w:after="0"/>
            </w:pPr>
            <w:r>
              <w:rPr>
                <w:rFonts w:ascii="Aptos" w:hAnsi="Aptos"/>
                <w:b/>
                <w:i w:val="0"/>
                <w:color w:val="173A52"/>
                <w:sz w:val="18"/>
              </w:rPr>
              <w:t>Review cycles and feedback format</w:t>
            </w:r>
          </w:p>
        </w:tc>
        <w:tc>
          <w:tcPr>
            <w:tcW w:type="dxa" w:w="6810"/>
            <w:vAlign w:val="center"/>
            <w:shd w:fill="FFFFFF"/>
            <w:tcMar>
              <w:top w:w="65" w:type="dxa"/>
              <w:start w:w="140" w:type="dxa"/>
              <w:bottom w:w="65" w:type="dxa"/>
              <w:end w:w="140" w:type="dxa"/>
            </w:tcMar>
          </w:tcPr>
          <w:p>
            <w:pPr>
              <w:spacing w:after="0"/>
            </w:pPr>
            <w:r>
              <w:rPr>
                <w:rFonts w:ascii="Aptos" w:hAnsi="Aptos"/>
                <w:b w:val="0"/>
                <w:i w:val="0"/>
                <w:color w:val="24333D"/>
                <w:sz w:val="18"/>
              </w:rPr>
              <w:t>To be confirmed</w:t>
            </w:r>
          </w:p>
        </w:tc>
      </w:tr>
      <w:tr>
        <w:tc>
          <w:tcPr>
            <w:tcW w:type="dxa" w:w="2550"/>
            <w:vAlign w:val="center"/>
            <w:shd w:fill="F3F6F8"/>
            <w:tcMar>
              <w:top w:w="65" w:type="dxa"/>
              <w:start w:w="140" w:type="dxa"/>
              <w:bottom w:w="65" w:type="dxa"/>
              <w:end w:w="140" w:type="dxa"/>
            </w:tcMar>
          </w:tcPr>
          <w:p>
            <w:pPr>
              <w:spacing w:after="0"/>
            </w:pPr>
            <w:r>
              <w:rPr>
                <w:rFonts w:ascii="Aptos" w:hAnsi="Aptos"/>
                <w:b/>
                <w:i w:val="0"/>
                <w:color w:val="173A52"/>
                <w:sz w:val="18"/>
              </w:rPr>
              <w:t>Turnaround and communication access</w:t>
            </w:r>
          </w:p>
        </w:tc>
        <w:tc>
          <w:tcPr>
            <w:tcW w:type="dxa" w:w="6810"/>
            <w:vAlign w:val="center"/>
            <w:shd w:fill="FFFFFF"/>
            <w:tcMar>
              <w:top w:w="65" w:type="dxa"/>
              <w:start w:w="140" w:type="dxa"/>
              <w:bottom w:w="65" w:type="dxa"/>
              <w:end w:w="140" w:type="dxa"/>
            </w:tcMar>
          </w:tcPr>
          <w:p>
            <w:pPr>
              <w:spacing w:after="0"/>
            </w:pPr>
            <w:r>
              <w:rPr>
                <w:rFonts w:ascii="Aptos" w:hAnsi="Aptos"/>
                <w:b w:val="0"/>
                <w:i w:val="0"/>
                <w:color w:val="24333D"/>
                <w:sz w:val="18"/>
              </w:rPr>
              <w:t>To be confirmed</w:t>
            </w:r>
          </w:p>
        </w:tc>
      </w:tr>
    </w:tbl>
    <w:sectPr w:rsidR="00FC693F" w:rsidRPr="0006063C" w:rsidSect="00034616">
      <w:footerReference w:type="default" r:id="rId9"/>
      <w:pgSz w:w="12240" w:h="15840"/>
      <w:pgMar w:top="1008" w:right="1224" w:bottom="864"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5F6F79"/>
        <w:sz w:val="17"/>
      </w:rPr>
      <w:t xml:space="preserve">VERIPATHWAYS  |  </w:t>
    </w:r>
    <w:r>
      <w:rPr>
        <w:rFonts w:ascii="Aptos" w:hAnsi="Aptos"/>
        <w:b w:val="0"/>
        <w:i w:val="0"/>
        <w:color w:val="5F6F79"/>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A52"/>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1B7F79"/>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173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ptos" w:hAnsi="Aptos"/>
      <w:color w:val="24333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59"/>
      <w:contextualSpacing/>
    </w:pPr>
    <w:rPr>
      <w:rFonts w:ascii="Aptos" w:hAnsi="Aptos"/>
      <w:color w:val="2433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Conversation + Application Review</dc:title>
  <dc:subject>VeriPathways college application services</dc:subject>
  <dc:creator>VeriPathways</dc:creator>
  <cp:keywords>VeriPathways, college applications, student advising</cp:keywords>
  <dc:description>Client-facing working draft based on the approved service framework.</dc:description>
  <cp:lastModifiedBy/>
  <cp:revision>1</cp:revision>
  <dcterms:created xsi:type="dcterms:W3CDTF">2013-12-23T23:15:00Z</dcterms:created>
  <dcterms:modified xsi:type="dcterms:W3CDTF">2013-12-23T23:15:00Z</dcterms:modified>
  <cp:category/>
</cp:coreProperties>
</file>