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F374A"/>
          <w:sz w:val="64"/>
        </w:rPr>
        <w:t>VeriPathways</w:t>
      </w:r>
    </w:p>
    <w:p>
      <w:pPr>
        <w:jc w:val="center"/>
      </w:pPr>
      <w:r>
        <w:rPr>
          <w:rFonts w:ascii="Aptos Display" w:hAnsi="Aptos Display"/>
          <w:b/>
          <w:color w:val="2D7674"/>
          <w:sz w:val="44"/>
        </w:rPr>
        <w:t>College Application Services</w:t>
      </w:r>
    </w:p>
    <w:p>
      <w:pPr>
        <w:spacing w:before="160"/>
        <w:jc w:val="center"/>
      </w:pPr>
      <w:r>
        <w:rPr>
          <w:color w:val="262B2F"/>
          <w:sz w:val="26"/>
        </w:rPr>
        <w:t>Package Framework &amp; Service Scope</w:t>
      </w:r>
    </w:p>
    <w:p>
      <w:pPr>
        <w:spacing w:before="40" w:after="120"/>
        <w:pBdr>
          <w:bottom w:val="single" w:sz="8" w:space="1" w:color="2D7674"/>
        </w:pBdr>
      </w:pPr>
    </w:p>
    <w:p>
      <w:pPr>
        <w:spacing w:before="360"/>
        <w:jc w:val="center"/>
      </w:pPr>
      <w:r>
        <w:rPr>
          <w:i/>
          <w:color w:val="1F374A"/>
          <w:sz w:val="24"/>
        </w:rPr>
        <w:t>Guiding Your Journey Through Higher Education.</w:t>
      </w:r>
    </w:p>
    <w:p>
      <w:pPr>
        <w:spacing w:before="400"/>
        <w:jc w:val="center"/>
      </w:pPr>
      <w:r>
        <w:rPr>
          <w:color w:val="5F686E"/>
          <w:sz w:val="19"/>
        </w:rPr>
        <w:t>Working business-development draft based on Rosa’s service concepts and VeriPathways’ current advising philosophy.</w:t>
      </w:r>
    </w:p>
    <w:p>
      <w:r>
        <w:br w:type="page"/>
      </w:r>
    </w:p>
    <w:p>
      <w:pPr>
        <w:pStyle w:val="Heading1"/>
      </w:pPr>
      <w:r>
        <w:t>1. Purpose of This Document</w:t>
      </w:r>
    </w:p>
    <w:p>
      <w:r>
        <w:t>This document defines the first two VeriPathways service packages for students who are preparing to apply to college or are actively applying. It is intended as an internal working document that can later be adapted into website copy, intake materials, service agreements, and client-facing package descriptions.</w:t>
      </w:r>
    </w:p>
    <w:p>
      <w:r>
        <w:t>The central principle is that VeriPathways provides professional review, perspective, and guided conversation. The service is not positioned as a promise of admission, a formula for getting into a particular institution, or an application-writing service.</w:t>
      </w:r>
    </w:p>
    <w:tbl>
      <w:tblPr>
        <w:tblW w:type="auto" w:w="0"/>
        <w:jc w:val="center"/>
        <w:tblLayout w:type="autofit"/>
        <w:tblLook w:firstColumn="1" w:firstRow="1" w:lastColumn="0" w:lastRow="0" w:noHBand="0" w:noVBand="1" w:val="04A0"/>
      </w:tblPr>
      <w:tblGrid>
        <w:gridCol w:w="9792"/>
      </w:tblGrid>
      <w:tr>
        <w:tc>
          <w:tcPr>
            <w:tcW w:type="dxa" w:w="9792"/>
            <w:shd w:fill="F4F7F8"/>
            <w:tcMar>
              <w:top w:w="120" w:type="dxa"/>
              <w:start w:w="140" w:type="dxa"/>
              <w:bottom w:w="120" w:type="dxa"/>
              <w:end w:w="140" w:type="dxa"/>
            </w:tcMar>
          </w:tcPr>
          <w:p>
            <w:r>
              <w:rPr>
                <w:b/>
                <w:color w:val="1F374A"/>
                <w:sz w:val="21"/>
              </w:rPr>
              <w:t>Core language principle</w:t>
            </w:r>
          </w:p>
          <w:p>
            <w:pPr>
              <w:spacing w:after="0"/>
            </w:pPr>
            <w:r>
              <w:rPr>
                <w:sz w:val="20"/>
              </w:rPr>
              <w:t>Use “review,” “conversation,” “feedback,” “perspective,” and “considerations.” Avoid language that implies a guaranteed result or that VeriPathways controls an admissions outcome.</w:t>
            </w:r>
          </w:p>
        </w:tc>
      </w:tr>
    </w:tbl>
    <w:p>
      <w:pPr>
        <w:pStyle w:val="Heading1"/>
      </w:pPr>
      <w:r>
        <w:t>2. How the Two Packages Fit Together</w:t>
      </w:r>
    </w:p>
    <w:p>
      <w:r>
        <w:t>Both packages serve students who are applying to undergraduate colleges. The primary difference is whether the student needs the broader college conversation before or alongside the application review.</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374A"/>
            <w:tcMar>
              <w:top w:w="100" w:type="dxa"/>
              <w:start w:w="100" w:type="dxa"/>
              <w:bottom w:w="100" w:type="dxa"/>
              <w:end w:w="100" w:type="dxa"/>
            </w:tcMar>
            <w:vAlign w:val="center"/>
          </w:tcPr>
          <w:p>
            <w:r>
              <w:rPr>
                <w:b/>
                <w:color w:val="FFFFFF"/>
                <w:sz w:val="19"/>
              </w:rPr>
            </w:r>
          </w:p>
        </w:tc>
        <w:tc>
          <w:tcPr>
            <w:tcW w:type="dxa" w:w="3264"/>
            <w:shd w:fill="1F374A"/>
            <w:tcMar>
              <w:top w:w="100" w:type="dxa"/>
              <w:start w:w="100" w:type="dxa"/>
              <w:bottom w:w="100" w:type="dxa"/>
              <w:end w:w="100" w:type="dxa"/>
            </w:tcMar>
            <w:vAlign w:val="center"/>
          </w:tcPr>
          <w:p>
            <w:r>
              <w:rPr>
                <w:b/>
                <w:color w:val="FFFFFF"/>
                <w:sz w:val="19"/>
              </w:rPr>
              <w:t>Package #1</w:t>
            </w:r>
          </w:p>
        </w:tc>
        <w:tc>
          <w:tcPr>
            <w:tcW w:type="dxa" w:w="3264"/>
            <w:shd w:fill="1F374A"/>
            <w:tcMar>
              <w:top w:w="100" w:type="dxa"/>
              <w:start w:w="100" w:type="dxa"/>
              <w:bottom w:w="100" w:type="dxa"/>
              <w:end w:w="100" w:type="dxa"/>
            </w:tcMar>
            <w:vAlign w:val="center"/>
          </w:tcPr>
          <w:p>
            <w:r>
              <w:rPr>
                <w:b/>
                <w:color w:val="FFFFFF"/>
                <w:sz w:val="19"/>
              </w:rPr>
              <w:t>Package #2</w:t>
            </w:r>
          </w:p>
        </w:tc>
      </w:tr>
      <w:tr>
        <w:tc>
          <w:tcPr>
            <w:tcW w:type="dxa" w:w="3264"/>
            <w:tcMar>
              <w:top w:w="100" w:type="dxa"/>
              <w:start w:w="100" w:type="dxa"/>
              <w:bottom w:w="100" w:type="dxa"/>
              <w:end w:w="100" w:type="dxa"/>
            </w:tcMar>
            <w:vAlign w:val="center"/>
            <w:shd w:fill="E9EFF1"/>
          </w:tcPr>
          <w:p>
            <w:r>
              <w:rPr>
                <w:b/>
                <w:sz w:val="18"/>
              </w:rPr>
              <w:t>Working name</w:t>
            </w:r>
          </w:p>
        </w:tc>
        <w:tc>
          <w:tcPr>
            <w:tcW w:type="dxa" w:w="3264"/>
            <w:tcMar>
              <w:top w:w="100" w:type="dxa"/>
              <w:start w:w="100" w:type="dxa"/>
              <w:bottom w:w="100" w:type="dxa"/>
              <w:end w:w="100" w:type="dxa"/>
            </w:tcMar>
            <w:vAlign w:val="center"/>
          </w:tcPr>
          <w:p>
            <w:r>
              <w:rPr>
                <w:sz w:val="18"/>
              </w:rPr>
              <w:t>College Conversation + Application Review</w:t>
            </w:r>
          </w:p>
        </w:tc>
        <w:tc>
          <w:tcPr>
            <w:tcW w:type="dxa" w:w="3264"/>
            <w:tcMar>
              <w:top w:w="100" w:type="dxa"/>
              <w:start w:w="100" w:type="dxa"/>
              <w:bottom w:w="100" w:type="dxa"/>
              <w:end w:w="100" w:type="dxa"/>
            </w:tcMar>
            <w:vAlign w:val="center"/>
          </w:tcPr>
          <w:p>
            <w:r>
              <w:rPr>
                <w:sz w:val="18"/>
              </w:rPr>
              <w:t>Application Document Review</w:t>
            </w:r>
          </w:p>
        </w:tc>
      </w:tr>
      <w:tr>
        <w:tc>
          <w:tcPr>
            <w:tcW w:type="dxa" w:w="3264"/>
            <w:tcMar>
              <w:top w:w="100" w:type="dxa"/>
              <w:start w:w="100" w:type="dxa"/>
              <w:bottom w:w="100" w:type="dxa"/>
              <w:end w:w="100" w:type="dxa"/>
            </w:tcMar>
            <w:vAlign w:val="center"/>
            <w:shd w:fill="E9EFF1"/>
          </w:tcPr>
          <w:p>
            <w:r>
              <w:rPr>
                <w:b/>
                <w:sz w:val="18"/>
              </w:rPr>
              <w:t>Best fit</w:t>
            </w:r>
          </w:p>
        </w:tc>
        <w:tc>
          <w:tcPr>
            <w:tcW w:type="dxa" w:w="3264"/>
            <w:tcMar>
              <w:top w:w="100" w:type="dxa"/>
              <w:start w:w="100" w:type="dxa"/>
              <w:bottom w:w="100" w:type="dxa"/>
              <w:end w:w="100" w:type="dxa"/>
            </w:tcMar>
            <w:vAlign w:val="center"/>
          </w:tcPr>
          <w:p>
            <w:r>
              <w:rPr>
                <w:sz w:val="18"/>
              </w:rPr>
              <w:t>10th–11th graders who want to begin the college conversation early</w:t>
            </w:r>
          </w:p>
        </w:tc>
        <w:tc>
          <w:tcPr>
            <w:tcW w:type="dxa" w:w="3264"/>
            <w:tcMar>
              <w:top w:w="100" w:type="dxa"/>
              <w:start w:w="100" w:type="dxa"/>
              <w:bottom w:w="100" w:type="dxa"/>
              <w:end w:w="100" w:type="dxa"/>
            </w:tcMar>
            <w:vAlign w:val="center"/>
          </w:tcPr>
          <w:p>
            <w:r>
              <w:rPr>
                <w:sz w:val="18"/>
              </w:rPr>
              <w:t>11th–12th graders actively preparing college applications</w:t>
            </w:r>
          </w:p>
        </w:tc>
      </w:tr>
    </w:tbl>
    <w:p>
      <w:r>
        <w:t>Package #2 is essentially the document-review component on its own. Package #1 adds a broader conversation about the student's goals, college list, college experience, and financial considerations before the application review.</w:t>
      </w:r>
    </w:p>
    <w:p>
      <w:pPr>
        <w:pStyle w:val="Heading1"/>
      </w:pPr>
      <w:r>
        <w:t>3. VeriPathways Positioning for College Applicants</w:t>
      </w:r>
    </w:p>
    <w:p>
      <w:r>
        <w:t>VeriPathways’ current company language emphasizes helping students and families navigate higher education with confidence, purpose, and a long-term perspective. The college application services should reflect that same philosophy.</w:t>
      </w:r>
    </w:p>
    <w:p>
      <w:pPr>
        <w:pStyle w:val="ListBullet"/>
        <w:spacing w:after="50"/>
      </w:pPr>
      <w:r>
        <w:t>The student remains the author and owner of the application.</w:t>
      </w:r>
    </w:p>
    <w:p>
      <w:pPr>
        <w:pStyle w:val="ListBullet"/>
        <w:spacing w:after="50"/>
      </w:pPr>
      <w:r>
        <w:t>Rosa provides professional perspective and feedback rather than rewriting the student's work.</w:t>
      </w:r>
    </w:p>
    <w:p>
      <w:pPr>
        <w:pStyle w:val="ListBullet"/>
        <w:spacing w:after="50"/>
      </w:pPr>
      <w:r>
        <w:t>The college conversation considers academic, financial, personal, social, and career factors.</w:t>
      </w:r>
    </w:p>
    <w:p>
      <w:pPr>
        <w:pStyle w:val="ListBullet"/>
        <w:spacing w:after="50"/>
      </w:pPr>
      <w:r>
        <w:t>The purpose is not to chase prestige or optimize for a promised outcome.</w:t>
      </w:r>
    </w:p>
    <w:p>
      <w:pPr>
        <w:pStyle w:val="ListBullet"/>
        <w:spacing w:after="50"/>
      </w:pPr>
      <w:r>
        <w:t>The family is encouraged to think about what the student actually wants from the four-year experience.</w:t>
      </w:r>
    </w:p>
    <w:p>
      <w:pPr>
        <w:pStyle w:val="ListBullet"/>
        <w:spacing w:after="50"/>
      </w:pPr>
      <w:r>
        <w:t>The application is reviewed as a complete profile, not only as a collection of separate documents.</w:t>
      </w:r>
    </w:p>
    <w:p>
      <w:pPr>
        <w:pStyle w:val="Callout"/>
      </w:pPr>
      <w:r>
        <w:t>VeriPathways should help students ask better questions before they apply and communicate themselves clearly when they do.</w:t>
      </w:r>
    </w:p>
    <w:p>
      <w:pPr>
        <w:pStyle w:val="Heading1"/>
      </w:pPr>
      <w:r>
        <w:t>4. Package #1: College Conversation + Application Review</w:t>
      </w:r>
    </w:p>
    <w:p>
      <w:pPr>
        <w:pStyle w:val="Heading2"/>
      </w:pPr>
      <w:r>
        <w:t>Who This Is For</w:t>
      </w:r>
    </w:p>
    <w:p>
      <w:r>
        <w:t>This package is designed primarily for students in 10th and 11th grade who want to begin the “Where do I want to go to college?” conversation before they are deep into the application process.</w:t>
      </w:r>
    </w:p>
    <w:p>
      <w:r>
        <w:t>The value of beginning earlier is not to engineer a particular admissions outcome. It is to give the student and family time to think about what the student wants from college, what kinds of institutions may fit those goals, and what questions should shape the eventual college list.</w:t>
      </w:r>
    </w:p>
    <w:p>
      <w:pPr>
        <w:pStyle w:val="Heading2"/>
      </w:pPr>
      <w:r>
        <w:t>Core Purpose</w:t>
      </w:r>
    </w:p>
    <w:p>
      <w:r>
        <w:t>The package combines two forms of support:</w:t>
      </w:r>
    </w:p>
    <w:p>
      <w:pPr>
        <w:pStyle w:val="ListNumber"/>
        <w:spacing w:after="60"/>
      </w:pPr>
      <w:r>
        <w:t>A guided conversation about the student's goals, desired college experience, college list, and important practical considerations.</w:t>
      </w:r>
    </w:p>
    <w:p>
      <w:pPr>
        <w:pStyle w:val="ListNumber"/>
        <w:spacing w:after="60"/>
      </w:pPr>
      <w:r>
        <w:t>A professional Application Document Review when the student reaches the active application stage.</w:t>
      </w:r>
    </w:p>
    <w:p>
      <w:pPr>
        <w:pStyle w:val="Heading2"/>
      </w:pPr>
      <w:r>
        <w:t>Part A: College Goals Conversation</w:t>
      </w:r>
    </w:p>
    <w:p>
      <w:r>
        <w:t>The conversation begins with the student rather than with a ranking or a school name. Rosa helps the student articulate what they hope to gain from four years of college.</w:t>
      </w:r>
    </w:p>
    <w:p>
      <w:pPr>
        <w:pStyle w:val="ListBullet"/>
        <w:spacing w:after="50"/>
      </w:pPr>
      <w:r>
        <w:t>Academic interests and possible majors</w:t>
      </w:r>
    </w:p>
    <w:p>
      <w:pPr>
        <w:pStyle w:val="ListBullet"/>
        <w:spacing w:after="50"/>
      </w:pPr>
      <w:r>
        <w:t>Early career interests or longer-term professional goals</w:t>
      </w:r>
    </w:p>
    <w:p>
      <w:pPr>
        <w:pStyle w:val="ListBullet"/>
        <w:spacing w:after="50"/>
      </w:pPr>
      <w:r>
        <w:t>What the student wants to learn, experience, and explore</w:t>
      </w:r>
    </w:p>
    <w:p>
      <w:pPr>
        <w:pStyle w:val="ListBullet"/>
        <w:spacing w:after="50"/>
      </w:pPr>
      <w:r>
        <w:t>Desired level of academic challenge</w:t>
      </w:r>
    </w:p>
    <w:p>
      <w:pPr>
        <w:pStyle w:val="ListBullet"/>
        <w:spacing w:after="50"/>
      </w:pPr>
      <w:r>
        <w:t>Interest in research, internships, clinical exposure, service, entrepreneurship, or other experiential learning</w:t>
      </w:r>
    </w:p>
    <w:p>
      <w:pPr>
        <w:pStyle w:val="ListBullet"/>
        <w:spacing w:after="50"/>
      </w:pPr>
      <w:r>
        <w:t>Importance of faculty access and mentorship</w:t>
      </w:r>
    </w:p>
    <w:p>
      <w:pPr>
        <w:pStyle w:val="ListBullet"/>
        <w:spacing w:after="50"/>
      </w:pPr>
      <w:r>
        <w:t>Potential need for strong recommendation letters later</w:t>
      </w:r>
    </w:p>
    <w:p>
      <w:pPr>
        <w:pStyle w:val="ListBullet"/>
        <w:spacing w:after="50"/>
      </w:pPr>
      <w:r>
        <w:t>Graduate or professional school aspirations, when relevant</w:t>
      </w:r>
    </w:p>
    <w:p>
      <w:pPr>
        <w:pStyle w:val="ListBullet"/>
        <w:spacing w:after="50"/>
      </w:pPr>
      <w:r>
        <w:t>Interest in alumni networks and professional connections</w:t>
      </w:r>
    </w:p>
    <w:p>
      <w:pPr>
        <w:pStyle w:val="ListBullet"/>
        <w:spacing w:after="50"/>
      </w:pPr>
      <w:r>
        <w:t>Preferred campus size, location, and setting</w:t>
      </w:r>
    </w:p>
    <w:p>
      <w:pPr>
        <w:pStyle w:val="ListBullet"/>
        <w:spacing w:after="50"/>
      </w:pPr>
      <w:r>
        <w:t>Social environment and campus culture</w:t>
      </w:r>
    </w:p>
    <w:p>
      <w:pPr>
        <w:pStyle w:val="ListBullet"/>
        <w:spacing w:after="50"/>
      </w:pPr>
      <w:r>
        <w:t>Residential experience and other quality-of-life considerations</w:t>
      </w:r>
    </w:p>
    <w:tbl>
      <w:tblPr>
        <w:tblW w:type="auto" w:w="0"/>
        <w:jc w:val="center"/>
        <w:tblLayout w:type="autofit"/>
        <w:tblLook w:firstColumn="1" w:firstRow="1" w:lastColumn="0" w:lastRow="0" w:noHBand="0" w:noVBand="1" w:val="04A0"/>
      </w:tblPr>
      <w:tblGrid>
        <w:gridCol w:w="9792"/>
      </w:tblGrid>
      <w:tr>
        <w:tc>
          <w:tcPr>
            <w:tcW w:type="dxa" w:w="9792"/>
            <w:shd w:fill="F4F7F8"/>
            <w:tcMar>
              <w:top w:w="120" w:type="dxa"/>
              <w:start w:w="140" w:type="dxa"/>
              <w:bottom w:w="120" w:type="dxa"/>
              <w:end w:w="140" w:type="dxa"/>
            </w:tcMar>
          </w:tcPr>
          <w:p>
            <w:r>
              <w:rPr>
                <w:b/>
                <w:color w:val="1F374A"/>
                <w:sz w:val="21"/>
              </w:rPr>
              <w:t>Example of Rosa’s lens</w:t>
            </w:r>
          </w:p>
          <w:p>
            <w:pPr>
              <w:spacing w:after="0"/>
            </w:pPr>
            <w:r>
              <w:rPr>
                <w:sz w:val="20"/>
              </w:rPr>
              <w:t>If a student says they want to become a physician, the conversation is not simply “Which school is best?” It can include whether the institution provides the kinds of academic preparation, faculty access, mentoring, research, clinical opportunities, and relationships that may matter to that student’s longer-term goals.</w:t>
            </w:r>
          </w:p>
        </w:tc>
      </w:tr>
    </w:tbl>
    <w:p>
      <w:pPr>
        <w:pStyle w:val="Heading2"/>
      </w:pPr>
      <w:r>
        <w:t>Part B: College List Review</w:t>
      </w:r>
    </w:p>
    <w:p>
      <w:r>
        <w:t>Rosa reviews the student's proposed list through the context established in the goals conversation. The objective is to help the student and family examine whether the list makes sense for them.</w:t>
      </w:r>
    </w:p>
    <w:p>
      <w:pPr>
        <w:pStyle w:val="ListBullet"/>
        <w:spacing w:after="50"/>
      </w:pPr>
      <w:r>
        <w:t>Does the list reflect what the student says they want from college?</w:t>
      </w:r>
    </w:p>
    <w:p>
      <w:pPr>
        <w:pStyle w:val="ListBullet"/>
        <w:spacing w:after="50"/>
      </w:pPr>
      <w:r>
        <w:t>Does the student understand meaningful differences among the institutions?</w:t>
      </w:r>
    </w:p>
    <w:p>
      <w:pPr>
        <w:pStyle w:val="ListBullet"/>
        <w:spacing w:after="50"/>
      </w:pPr>
      <w:r>
        <w:t>Is the list balanced across different levels of admissions selectivity?</w:t>
      </w:r>
    </w:p>
    <w:p>
      <w:pPr>
        <w:pStyle w:val="ListBullet"/>
        <w:spacing w:after="50"/>
      </w:pPr>
      <w:r>
        <w:t>Are there schools on the list primarily because of reputation, marketing, or external pressure?</w:t>
      </w:r>
    </w:p>
    <w:p>
      <w:pPr>
        <w:pStyle w:val="ListBullet"/>
        <w:spacing w:after="50"/>
      </w:pPr>
      <w:r>
        <w:t>Has the student considered campus size, environment, location, culture, and social experience?</w:t>
      </w:r>
    </w:p>
    <w:p>
      <w:pPr>
        <w:pStyle w:val="ListBullet"/>
        <w:spacing w:after="50"/>
      </w:pPr>
      <w:r>
        <w:t>Have academic and experiential opportunities been considered?</w:t>
      </w:r>
    </w:p>
    <w:p>
      <w:pPr>
        <w:pStyle w:val="ListBullet"/>
        <w:spacing w:after="50"/>
      </w:pPr>
      <w:r>
        <w:t>Would the student realistically want to attend each school if admitted?</w:t>
      </w:r>
    </w:p>
    <w:p>
      <w:pPr>
        <w:pStyle w:val="Heading2"/>
      </w:pPr>
      <w:r>
        <w:t>Part C: Cost &amp; Family Financial Conversation</w:t>
      </w:r>
    </w:p>
    <w:p>
      <w:r>
        <w:t>College cost should be discussed before an admission decision forces the family to confront it. Rosa's role is not to provide financial planning or investment advice, but to make sure affordability and willingness to pay are part of the college conversation.</w:t>
      </w:r>
    </w:p>
    <w:p>
      <w:pPr>
        <w:pStyle w:val="ListBullet"/>
        <w:spacing w:after="50"/>
      </w:pPr>
      <w:r>
        <w:t>What is the approximate cost of attendance?</w:t>
      </w:r>
    </w:p>
    <w:p>
      <w:pPr>
        <w:pStyle w:val="ListBullet"/>
        <w:spacing w:after="50"/>
      </w:pPr>
      <w:r>
        <w:t>What has the family discussed as a realistic budget?</w:t>
      </w:r>
    </w:p>
    <w:p>
      <w:pPr>
        <w:pStyle w:val="ListBullet"/>
        <w:spacing w:after="50"/>
      </w:pPr>
      <w:r>
        <w:t>Are the student and family aligned on what they are prepared to pay?</w:t>
      </w:r>
    </w:p>
    <w:p>
      <w:pPr>
        <w:pStyle w:val="ListBullet"/>
        <w:spacing w:after="50"/>
      </w:pPr>
      <w:r>
        <w:t>Would the family still consider the school if financial aid or scholarships are limited?</w:t>
      </w:r>
    </w:p>
    <w:p>
      <w:pPr>
        <w:pStyle w:val="ListBullet"/>
        <w:spacing w:after="50"/>
      </w:pPr>
      <w:r>
        <w:t>If admitted, is this an option the family could realistically choose?</w:t>
      </w:r>
    </w:p>
    <w:p>
      <w:pPr>
        <w:pStyle w:val="Callout"/>
      </w:pPr>
      <w:r>
        <w:t>A useful question: “If you are admitted and the cost is what you currently expect, are you actually prepared to say yes?”</w:t>
      </w:r>
    </w:p>
    <w:p>
      <w:pPr>
        <w:pStyle w:val="Heading2"/>
      </w:pPr>
      <w:r>
        <w:t>Part D: Application Document Review</w:t>
      </w:r>
    </w:p>
    <w:p>
      <w:r>
        <w:t>When the student enters the active application stage, Rosa reviews the completed or near-completed application materials and provides feedback from a professional and personal perspective.</w:t>
      </w:r>
    </w:p>
    <w:p>
      <w:r>
        <w:t>The purpose is not to tell the student how to “get in.” Rosa reviews how the application presents the student as a whole person and whether the intended message comes through clearly.</w:t>
      </w:r>
    </w:p>
    <w:p>
      <w:pPr>
        <w:pStyle w:val="ListBullet"/>
        <w:spacing w:after="50"/>
      </w:pPr>
      <w:r>
        <w:t>Core application or equivalent platform</w:t>
      </w:r>
    </w:p>
    <w:p>
      <w:pPr>
        <w:pStyle w:val="ListBullet"/>
        <w:spacing w:after="50"/>
      </w:pPr>
      <w:r>
        <w:t>Activities section</w:t>
      </w:r>
    </w:p>
    <w:p>
      <w:pPr>
        <w:pStyle w:val="ListBullet"/>
        <w:spacing w:after="50"/>
      </w:pPr>
      <w:r>
        <w:t>Honors and awards</w:t>
      </w:r>
    </w:p>
    <w:p>
      <w:pPr>
        <w:pStyle w:val="ListBullet"/>
        <w:spacing w:after="50"/>
      </w:pPr>
      <w:r>
        <w:t>Personal statement</w:t>
      </w:r>
    </w:p>
    <w:p>
      <w:pPr>
        <w:pStyle w:val="ListBullet"/>
        <w:spacing w:after="50"/>
      </w:pPr>
      <w:r>
        <w:t>Supplemental essays, within the package's defined scope</w:t>
      </w:r>
    </w:p>
    <w:p>
      <w:pPr>
        <w:pStyle w:val="ListBullet"/>
        <w:spacing w:after="50"/>
      </w:pPr>
      <w:r>
        <w:t>Additional information section, when applicable</w:t>
      </w:r>
    </w:p>
    <w:p>
      <w:pPr>
        <w:pStyle w:val="ListBullet"/>
        <w:spacing w:after="50"/>
      </w:pPr>
      <w:r>
        <w:t>Other agreed-upon application materials</w:t>
      </w:r>
    </w:p>
    <w:p>
      <w:pPr>
        <w:pStyle w:val="Heading3"/>
      </w:pPr>
      <w:r>
        <w:t>What Rosa Is Looking For</w:t>
      </w:r>
    </w:p>
    <w:p>
      <w:pPr>
        <w:pStyle w:val="ListBullet"/>
        <w:spacing w:after="50"/>
      </w:pPr>
      <w:r>
        <w:t>What overall impression does the application create?</w:t>
      </w:r>
    </w:p>
    <w:p>
      <w:pPr>
        <w:pStyle w:val="ListBullet"/>
        <w:spacing w:after="50"/>
      </w:pPr>
      <w:r>
        <w:t>Can the reader understand who this student is?</w:t>
      </w:r>
    </w:p>
    <w:p>
      <w:pPr>
        <w:pStyle w:val="ListBullet"/>
        <w:spacing w:after="50"/>
      </w:pPr>
      <w:r>
        <w:t>Do the different parts of the application feel coherent?</w:t>
      </w:r>
    </w:p>
    <w:p>
      <w:pPr>
        <w:pStyle w:val="ListBullet"/>
        <w:spacing w:after="50"/>
      </w:pPr>
      <w:r>
        <w:t>Do the student's interests, values, and experiences come through?</w:t>
      </w:r>
    </w:p>
    <w:p>
      <w:pPr>
        <w:pStyle w:val="ListBullet"/>
        <w:spacing w:after="50"/>
      </w:pPr>
      <w:r>
        <w:t>Are there places where the message is unclear or incomplete?</w:t>
      </w:r>
    </w:p>
    <w:p>
      <w:pPr>
        <w:pStyle w:val="ListBullet"/>
        <w:spacing w:after="50"/>
      </w:pPr>
      <w:r>
        <w:t>Does the application communicate what the student intends it to communicate?</w:t>
      </w:r>
    </w:p>
    <w:p>
      <w:pPr>
        <w:pStyle w:val="ListBullet"/>
        <w:spacing w:after="50"/>
      </w:pPr>
      <w:r>
        <w:t>Can a reader imagine how this student might participate in a university community?</w:t>
      </w:r>
    </w:p>
    <w:p>
      <w:pPr>
        <w:pStyle w:val="Heading2"/>
      </w:pPr>
      <w:r>
        <w:t>Potential Deliverables</w:t>
      </w:r>
    </w:p>
    <w:p>
      <w:pPr>
        <w:pStyle w:val="ListBullet"/>
        <w:spacing w:after="50"/>
      </w:pPr>
      <w:r>
        <w:t>Initial college goals conversation</w:t>
      </w:r>
    </w:p>
    <w:p>
      <w:pPr>
        <w:pStyle w:val="ListBullet"/>
        <w:spacing w:after="50"/>
      </w:pPr>
      <w:r>
        <w:t>College list review conversation</w:t>
      </w:r>
    </w:p>
    <w:p>
      <w:pPr>
        <w:pStyle w:val="ListBullet"/>
        <w:spacing w:after="50"/>
      </w:pPr>
      <w:r>
        <w:t>Discussion of financial and practical considerations</w:t>
      </w:r>
    </w:p>
    <w:p>
      <w:pPr>
        <w:pStyle w:val="ListBullet"/>
        <w:spacing w:after="50"/>
      </w:pPr>
      <w:r>
        <w:t>Application Document Review</w:t>
      </w:r>
    </w:p>
    <w:p>
      <w:pPr>
        <w:pStyle w:val="ListBullet"/>
        <w:spacing w:after="50"/>
      </w:pPr>
      <w:r>
        <w:t>Written or verbal feedback on the application, depending on the final service model</w:t>
      </w:r>
    </w:p>
    <w:p>
      <w:pPr>
        <w:pStyle w:val="ListBullet"/>
        <w:spacing w:after="50"/>
      </w:pPr>
      <w:r>
        <w:t>Optional follow-up conversation to discuss feedback</w:t>
      </w:r>
    </w:p>
    <w:tbl>
      <w:tblPr>
        <w:tblW w:type="auto" w:w="0"/>
        <w:jc w:val="center"/>
        <w:tblLayout w:type="autofit"/>
        <w:tblLook w:firstColumn="1" w:firstRow="1" w:lastColumn="0" w:lastRow="0" w:noHBand="0" w:noVBand="1" w:val="04A0"/>
      </w:tblPr>
      <w:tblGrid>
        <w:gridCol w:w="9792"/>
      </w:tblGrid>
      <w:tr>
        <w:tc>
          <w:tcPr>
            <w:tcW w:type="dxa" w:w="9792"/>
            <w:shd w:fill="F4F7F8"/>
            <w:tcMar>
              <w:top w:w="120" w:type="dxa"/>
              <w:start w:w="140" w:type="dxa"/>
              <w:bottom w:w="120" w:type="dxa"/>
              <w:end w:w="140" w:type="dxa"/>
            </w:tcMar>
          </w:tcPr>
          <w:p>
            <w:r>
              <w:rPr>
                <w:b/>
                <w:color w:val="1F374A"/>
                <w:sz w:val="21"/>
              </w:rPr>
              <w:t>Business rule still to define</w:t>
            </w:r>
          </w:p>
          <w:p>
            <w:pPr>
              <w:spacing w:after="0"/>
            </w:pPr>
            <w:r>
              <w:rPr>
                <w:sz w:val="20"/>
              </w:rPr>
              <w:t>If a student begins this package in 10th grade, VeriPathways must decide how long the package remains active and when the Application Document Review is delivered. This should be stated clearly in the eventual service agreement.</w:t>
            </w:r>
          </w:p>
        </w:tc>
      </w:tr>
    </w:tbl>
    <w:p>
      <w:r>
        <w:br w:type="page"/>
      </w:r>
    </w:p>
    <w:p>
      <w:pPr>
        <w:pStyle w:val="Heading1"/>
      </w:pPr>
      <w:r>
        <w:t>5. Package #2: Application Document Review</w:t>
      </w:r>
    </w:p>
    <w:p>
      <w:pPr>
        <w:pStyle w:val="Heading2"/>
      </w:pPr>
      <w:r>
        <w:t>Who This Is For</w:t>
      </w:r>
    </w:p>
    <w:p>
      <w:r>
        <w:t>This package is designed for 11th and 12th grade students who are already actively preparing college applications and do not need the broader college goals and college list conversation.</w:t>
      </w:r>
    </w:p>
    <w:p>
      <w:pPr>
        <w:pStyle w:val="Heading2"/>
      </w:pPr>
      <w:r>
        <w:t>Core Purpose</w:t>
      </w:r>
    </w:p>
    <w:p>
      <w:r>
        <w:t>Rosa provides an experienced review of the student's completed or near-completed application materials. The service focuses on the application as a profile: what the materials collectively communicate about the student.</w:t>
      </w:r>
    </w:p>
    <w:p>
      <w:pPr>
        <w:pStyle w:val="Heading2"/>
      </w:pPr>
      <w:r>
        <w:t>Documents That May Be Reviewed</w:t>
      </w:r>
    </w:p>
    <w:p>
      <w:pPr>
        <w:pStyle w:val="ListBullet"/>
        <w:spacing w:after="50"/>
      </w:pPr>
      <w:r>
        <w:t>Common Application or equivalent core application</w:t>
      </w:r>
    </w:p>
    <w:p>
      <w:pPr>
        <w:pStyle w:val="ListBullet"/>
        <w:spacing w:after="50"/>
      </w:pPr>
      <w:r>
        <w:t>Activities section</w:t>
      </w:r>
    </w:p>
    <w:p>
      <w:pPr>
        <w:pStyle w:val="ListBullet"/>
        <w:spacing w:after="50"/>
      </w:pPr>
      <w:r>
        <w:t>Honors and awards</w:t>
      </w:r>
    </w:p>
    <w:p>
      <w:pPr>
        <w:pStyle w:val="ListBullet"/>
        <w:spacing w:after="50"/>
      </w:pPr>
      <w:r>
        <w:t>Personal statement</w:t>
      </w:r>
    </w:p>
    <w:p>
      <w:pPr>
        <w:pStyle w:val="ListBullet"/>
        <w:spacing w:after="50"/>
      </w:pPr>
      <w:r>
        <w:t>Supplemental essays, within a defined limit</w:t>
      </w:r>
    </w:p>
    <w:p>
      <w:pPr>
        <w:pStyle w:val="ListBullet"/>
        <w:spacing w:after="50"/>
      </w:pPr>
      <w:r>
        <w:t>Additional information section, when applicable</w:t>
      </w:r>
    </w:p>
    <w:p>
      <w:pPr>
        <w:pStyle w:val="ListBullet"/>
        <w:spacing w:after="50"/>
      </w:pPr>
      <w:r>
        <w:t>Other agreed-upon application materials</w:t>
      </w:r>
    </w:p>
    <w:p>
      <w:pPr>
        <w:pStyle w:val="Heading2"/>
      </w:pPr>
      <w:r>
        <w:t>Review Lens</w:t>
      </w:r>
    </w:p>
    <w:p>
      <w:r>
        <w:t>Rosa reads the application from the perspective of an experienced higher-education professional and provides feedback about how the student's profile comes across.</w:t>
      </w:r>
    </w:p>
    <w:p>
      <w:pPr>
        <w:pStyle w:val="ListBullet"/>
        <w:spacing w:after="50"/>
      </w:pPr>
      <w:r>
        <w:t>Clarity of the student's message</w:t>
      </w:r>
    </w:p>
    <w:p>
      <w:pPr>
        <w:pStyle w:val="ListBullet"/>
        <w:spacing w:after="50"/>
      </w:pPr>
      <w:r>
        <w:t>Coherence across application sections</w:t>
      </w:r>
    </w:p>
    <w:p>
      <w:pPr>
        <w:pStyle w:val="ListBullet"/>
        <w:spacing w:after="50"/>
      </w:pPr>
      <w:r>
        <w:t>Whether experiences and interests are understandable in context</w:t>
      </w:r>
    </w:p>
    <w:p>
      <w:pPr>
        <w:pStyle w:val="ListBullet"/>
        <w:spacing w:after="50"/>
      </w:pPr>
      <w:r>
        <w:t>Whether the application feels authentic to the student</w:t>
      </w:r>
    </w:p>
    <w:p>
      <w:pPr>
        <w:pStyle w:val="ListBullet"/>
        <w:spacing w:after="50"/>
      </w:pPr>
      <w:r>
        <w:t>Areas that may be confusing, underexplained, or inconsistent</w:t>
      </w:r>
    </w:p>
    <w:p>
      <w:pPr>
        <w:pStyle w:val="ListBullet"/>
        <w:spacing w:after="50"/>
      </w:pPr>
      <w:r>
        <w:t>Questions a reader might naturally have</w:t>
      </w:r>
    </w:p>
    <w:p>
      <w:pPr>
        <w:pStyle w:val="ListBullet"/>
        <w:spacing w:after="50"/>
      </w:pPr>
      <w:r>
        <w:t>Opportunities for the student to clarify or strengthen their own presentation</w:t>
      </w:r>
    </w:p>
    <w:p>
      <w:pPr>
        <w:pStyle w:val="Heading2"/>
      </w:pPr>
      <w:r>
        <w:t>What This Package Does Not Include</w:t>
      </w:r>
    </w:p>
    <w:p>
      <w:pPr>
        <w:pStyle w:val="ListBullet"/>
        <w:spacing w:after="50"/>
      </w:pPr>
      <w:r>
        <w:t>College list review</w:t>
      </w:r>
    </w:p>
    <w:p>
      <w:pPr>
        <w:pStyle w:val="ListBullet"/>
        <w:spacing w:after="50"/>
      </w:pPr>
      <w:r>
        <w:t>Career-goal exploration</w:t>
      </w:r>
    </w:p>
    <w:p>
      <w:pPr>
        <w:pStyle w:val="ListBullet"/>
        <w:spacing w:after="50"/>
      </w:pPr>
      <w:r>
        <w:t>College fit conversation</w:t>
      </w:r>
    </w:p>
    <w:p>
      <w:pPr>
        <w:pStyle w:val="ListBullet"/>
        <w:spacing w:after="50"/>
      </w:pPr>
      <w:r>
        <w:t>Financial or affordability discussion</w:t>
      </w:r>
    </w:p>
    <w:p>
      <w:pPr>
        <w:pStyle w:val="ListBullet"/>
        <w:spacing w:after="50"/>
      </w:pPr>
      <w:r>
        <w:t>Application rewriting</w:t>
      </w:r>
    </w:p>
    <w:p>
      <w:pPr>
        <w:pStyle w:val="ListBullet"/>
        <w:spacing w:after="50"/>
      </w:pPr>
      <w:r>
        <w:t>Essay ghostwriting</w:t>
      </w:r>
    </w:p>
    <w:p>
      <w:pPr>
        <w:pStyle w:val="ListBullet"/>
        <w:spacing w:after="50"/>
      </w:pPr>
      <w:r>
        <w:t>Promises or predictions of admission</w:t>
      </w:r>
    </w:p>
    <w:p>
      <w:pPr>
        <w:pStyle w:val="ListBullet"/>
        <w:spacing w:after="50"/>
      </w:pPr>
      <w:r>
        <w:t>A formula for gaining admission to a specific institution</w:t>
      </w:r>
    </w:p>
    <w:p>
      <w:pPr>
        <w:pStyle w:val="Heading2"/>
      </w:pPr>
      <w:r>
        <w:t>Potential Deliverables</w:t>
      </w:r>
    </w:p>
    <w:p>
      <w:pPr>
        <w:pStyle w:val="ListBullet"/>
        <w:spacing w:after="50"/>
      </w:pPr>
      <w:r>
        <w:t>Professional review of agreed-upon application documents</w:t>
      </w:r>
    </w:p>
    <w:p>
      <w:pPr>
        <w:pStyle w:val="ListBullet"/>
        <w:spacing w:after="50"/>
      </w:pPr>
      <w:r>
        <w:t>Written feedback, verbal feedback, or a combination of both</w:t>
      </w:r>
    </w:p>
    <w:p>
      <w:pPr>
        <w:pStyle w:val="ListBullet"/>
        <w:spacing w:after="50"/>
      </w:pPr>
      <w:r>
        <w:t>Optional follow-up conversation to discuss the feedback</w:t>
      </w:r>
    </w:p>
    <w:p>
      <w:pPr>
        <w:pStyle w:val="ListBullet"/>
        <w:spacing w:after="50"/>
      </w:pPr>
      <w:r>
        <w:t>Clear identification of what is included in one review cycle</w:t>
      </w:r>
    </w:p>
    <w:tbl>
      <w:tblPr>
        <w:tblW w:type="auto" w:w="0"/>
        <w:jc w:val="center"/>
        <w:tblLayout w:type="autofit"/>
        <w:tblLook w:firstColumn="1" w:firstRow="1" w:lastColumn="0" w:lastRow="0" w:noHBand="0" w:noVBand="1" w:val="04A0"/>
      </w:tblPr>
      <w:tblGrid>
        <w:gridCol w:w="9792"/>
      </w:tblGrid>
      <w:tr>
        <w:tc>
          <w:tcPr>
            <w:tcW w:type="dxa" w:w="9792"/>
            <w:shd w:fill="F4F7F8"/>
            <w:tcMar>
              <w:top w:w="120" w:type="dxa"/>
              <w:start w:w="140" w:type="dxa"/>
              <w:bottom w:w="120" w:type="dxa"/>
              <w:end w:w="140" w:type="dxa"/>
            </w:tcMar>
          </w:tcPr>
          <w:p>
            <w:r>
              <w:rPr>
                <w:b/>
                <w:color w:val="1F374A"/>
                <w:sz w:val="21"/>
              </w:rPr>
              <w:t>Scope needs to be explicit</w:t>
            </w:r>
          </w:p>
          <w:p>
            <w:pPr>
              <w:spacing w:after="0"/>
            </w:pPr>
            <w:r>
              <w:rPr>
                <w:sz w:val="20"/>
              </w:rPr>
              <w:t>The final package description should specify how many applications or supplemental essay sets are included, whether a second review is included after the student revises, and the turnaround expectations.</w:t>
            </w:r>
          </w:p>
        </w:tc>
      </w:tr>
    </w:tbl>
    <w:p>
      <w:pPr>
        <w:pStyle w:val="Heading1"/>
      </w:pPr>
      <w:r>
        <w:t>6. Side-by-Side Package Comparison</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80" w:type="dxa"/>
              <w:start w:w="80" w:type="dxa"/>
              <w:bottom w:w="80" w:type="dxa"/>
              <w:end w:w="80" w:type="dxa"/>
            </w:tcMar>
            <w:vAlign w:val="center"/>
            <w:shd w:fill="1F374A"/>
          </w:tcPr>
          <w:p>
            <w:r>
              <w:rPr>
                <w:b/>
                <w:color w:val="FFFFFF"/>
                <w:sz w:val="17"/>
              </w:rPr>
              <w:t>Service element</w:t>
            </w:r>
          </w:p>
        </w:tc>
        <w:tc>
          <w:tcPr>
            <w:tcW w:type="dxa" w:w="3264"/>
            <w:tcMar>
              <w:top w:w="80" w:type="dxa"/>
              <w:start w:w="80" w:type="dxa"/>
              <w:bottom w:w="80" w:type="dxa"/>
              <w:end w:w="80" w:type="dxa"/>
            </w:tcMar>
            <w:vAlign w:val="center"/>
            <w:shd w:fill="1F374A"/>
          </w:tcPr>
          <w:p>
            <w:r>
              <w:rPr>
                <w:b/>
                <w:color w:val="FFFFFF"/>
                <w:sz w:val="17"/>
              </w:rPr>
              <w:t>Package #1</w:t>
              <w:br/>
              <w:t>College Conversation + Application Review</w:t>
            </w:r>
          </w:p>
        </w:tc>
        <w:tc>
          <w:tcPr>
            <w:tcW w:type="dxa" w:w="3264"/>
            <w:tcMar>
              <w:top w:w="80" w:type="dxa"/>
              <w:start w:w="80" w:type="dxa"/>
              <w:bottom w:w="80" w:type="dxa"/>
              <w:end w:w="80" w:type="dxa"/>
            </w:tcMar>
            <w:vAlign w:val="center"/>
            <w:shd w:fill="1F374A"/>
          </w:tcPr>
          <w:p>
            <w:r>
              <w:rPr>
                <w:b/>
                <w:color w:val="FFFFFF"/>
                <w:sz w:val="17"/>
              </w:rPr>
              <w:t>Package #2</w:t>
              <w:br/>
              <w:t>Application Document Review</w:t>
            </w:r>
          </w:p>
        </w:tc>
      </w:tr>
      <w:tr>
        <w:tc>
          <w:tcPr>
            <w:tcW w:type="dxa" w:w="3264"/>
            <w:tcMar>
              <w:top w:w="80" w:type="dxa"/>
              <w:start w:w="80" w:type="dxa"/>
              <w:bottom w:w="80" w:type="dxa"/>
              <w:end w:w="80" w:type="dxa"/>
            </w:tcMar>
            <w:vAlign w:val="center"/>
            <w:shd w:fill="E9EFF1"/>
          </w:tcPr>
          <w:p>
            <w:r>
              <w:rPr>
                <w:b/>
                <w:sz w:val="17"/>
              </w:rPr>
              <w:t>Primary audience</w:t>
            </w:r>
          </w:p>
        </w:tc>
        <w:tc>
          <w:tcPr>
            <w:tcW w:type="dxa" w:w="3264"/>
            <w:tcMar>
              <w:top w:w="80" w:type="dxa"/>
              <w:start w:w="80" w:type="dxa"/>
              <w:bottom w:w="80" w:type="dxa"/>
              <w:end w:w="80" w:type="dxa"/>
            </w:tcMar>
            <w:vAlign w:val="center"/>
          </w:tcPr>
          <w:p>
            <w:r>
              <w:rPr>
                <w:sz w:val="17"/>
              </w:rPr>
              <w:t>10th–11th grade</w:t>
            </w:r>
          </w:p>
        </w:tc>
        <w:tc>
          <w:tcPr>
            <w:tcW w:type="dxa" w:w="3264"/>
            <w:tcMar>
              <w:top w:w="80" w:type="dxa"/>
              <w:start w:w="80" w:type="dxa"/>
              <w:bottom w:w="80" w:type="dxa"/>
              <w:end w:w="80" w:type="dxa"/>
            </w:tcMar>
            <w:vAlign w:val="center"/>
          </w:tcPr>
          <w:p>
            <w:r>
              <w:rPr>
                <w:sz w:val="17"/>
              </w:rPr>
              <w:t>11th–12th grade, actively applying</w:t>
            </w:r>
          </w:p>
        </w:tc>
      </w:tr>
      <w:tr>
        <w:tc>
          <w:tcPr>
            <w:tcW w:type="dxa" w:w="3264"/>
            <w:tcMar>
              <w:top w:w="80" w:type="dxa"/>
              <w:start w:w="80" w:type="dxa"/>
              <w:bottom w:w="80" w:type="dxa"/>
              <w:end w:w="80" w:type="dxa"/>
            </w:tcMar>
            <w:vAlign w:val="center"/>
            <w:shd w:fill="E9EFF1"/>
          </w:tcPr>
          <w:p>
            <w:r>
              <w:rPr>
                <w:b/>
                <w:sz w:val="17"/>
              </w:rPr>
              <w:t>College goals conversation</w:t>
            </w:r>
          </w:p>
        </w:tc>
        <w:tc>
          <w:tcPr>
            <w:tcW w:type="dxa" w:w="3264"/>
            <w:tcMar>
              <w:top w:w="80" w:type="dxa"/>
              <w:start w:w="80" w:type="dxa"/>
              <w:bottom w:w="80" w:type="dxa"/>
              <w:end w:w="80" w:type="dxa"/>
            </w:tcMar>
            <w:vAlign w:val="center"/>
          </w:tcPr>
          <w:p>
            <w:r>
              <w:rPr>
                <w:sz w:val="17"/>
              </w:rPr>
              <w:t>Included</w:t>
            </w:r>
          </w:p>
        </w:tc>
        <w:tc>
          <w:tcPr>
            <w:tcW w:type="dxa" w:w="3264"/>
            <w:tcMar>
              <w:top w:w="80" w:type="dxa"/>
              <w:start w:w="80" w:type="dxa"/>
              <w:bottom w:w="80" w:type="dxa"/>
              <w:end w:w="80" w:type="dxa"/>
            </w:tcMar>
            <w:vAlign w:val="center"/>
          </w:tcPr>
          <w:p>
            <w:r>
              <w:rPr>
                <w:sz w:val="17"/>
              </w:rPr>
              <w:t>Not included</w:t>
            </w:r>
          </w:p>
        </w:tc>
      </w:tr>
      <w:tr>
        <w:tc>
          <w:tcPr>
            <w:tcW w:type="dxa" w:w="3264"/>
            <w:tcMar>
              <w:top w:w="80" w:type="dxa"/>
              <w:start w:w="80" w:type="dxa"/>
              <w:bottom w:w="80" w:type="dxa"/>
              <w:end w:w="80" w:type="dxa"/>
            </w:tcMar>
            <w:vAlign w:val="center"/>
            <w:shd w:fill="E9EFF1"/>
          </w:tcPr>
          <w:p>
            <w:r>
              <w:rPr>
                <w:b/>
                <w:sz w:val="17"/>
              </w:rPr>
              <w:t>Career interests conversation</w:t>
            </w:r>
          </w:p>
        </w:tc>
        <w:tc>
          <w:tcPr>
            <w:tcW w:type="dxa" w:w="3264"/>
            <w:tcMar>
              <w:top w:w="80" w:type="dxa"/>
              <w:start w:w="80" w:type="dxa"/>
              <w:bottom w:w="80" w:type="dxa"/>
              <w:end w:w="80" w:type="dxa"/>
            </w:tcMar>
            <w:vAlign w:val="center"/>
          </w:tcPr>
          <w:p>
            <w:r>
              <w:rPr>
                <w:sz w:val="17"/>
              </w:rPr>
              <w:t>Included</w:t>
            </w:r>
          </w:p>
        </w:tc>
        <w:tc>
          <w:tcPr>
            <w:tcW w:type="dxa" w:w="3264"/>
            <w:tcMar>
              <w:top w:w="80" w:type="dxa"/>
              <w:start w:w="80" w:type="dxa"/>
              <w:bottom w:w="80" w:type="dxa"/>
              <w:end w:w="80" w:type="dxa"/>
            </w:tcMar>
            <w:vAlign w:val="center"/>
          </w:tcPr>
          <w:p>
            <w:r>
              <w:rPr>
                <w:sz w:val="17"/>
              </w:rPr>
              <w:t>Not included</w:t>
            </w:r>
          </w:p>
        </w:tc>
      </w:tr>
      <w:tr>
        <w:tc>
          <w:tcPr>
            <w:tcW w:type="dxa" w:w="3264"/>
            <w:tcMar>
              <w:top w:w="80" w:type="dxa"/>
              <w:start w:w="80" w:type="dxa"/>
              <w:bottom w:w="80" w:type="dxa"/>
              <w:end w:w="80" w:type="dxa"/>
            </w:tcMar>
            <w:vAlign w:val="center"/>
            <w:shd w:fill="E9EFF1"/>
          </w:tcPr>
          <w:p>
            <w:r>
              <w:rPr>
                <w:b/>
                <w:sz w:val="17"/>
              </w:rPr>
              <w:t>College experience priorities</w:t>
            </w:r>
          </w:p>
        </w:tc>
        <w:tc>
          <w:tcPr>
            <w:tcW w:type="dxa" w:w="3264"/>
            <w:tcMar>
              <w:top w:w="80" w:type="dxa"/>
              <w:start w:w="80" w:type="dxa"/>
              <w:bottom w:w="80" w:type="dxa"/>
              <w:end w:w="80" w:type="dxa"/>
            </w:tcMar>
            <w:vAlign w:val="center"/>
          </w:tcPr>
          <w:p>
            <w:r>
              <w:rPr>
                <w:sz w:val="17"/>
              </w:rPr>
              <w:t>Included</w:t>
            </w:r>
          </w:p>
        </w:tc>
        <w:tc>
          <w:tcPr>
            <w:tcW w:type="dxa" w:w="3264"/>
            <w:tcMar>
              <w:top w:w="80" w:type="dxa"/>
              <w:start w:w="80" w:type="dxa"/>
              <w:bottom w:w="80" w:type="dxa"/>
              <w:end w:w="80" w:type="dxa"/>
            </w:tcMar>
            <w:vAlign w:val="center"/>
          </w:tcPr>
          <w:p>
            <w:r>
              <w:rPr>
                <w:sz w:val="17"/>
              </w:rPr>
              <w:t>Not included</w:t>
            </w:r>
          </w:p>
        </w:tc>
      </w:tr>
      <w:tr>
        <w:tc>
          <w:tcPr>
            <w:tcW w:type="dxa" w:w="3264"/>
            <w:tcMar>
              <w:top w:w="80" w:type="dxa"/>
              <w:start w:w="80" w:type="dxa"/>
              <w:bottom w:w="80" w:type="dxa"/>
              <w:end w:w="80" w:type="dxa"/>
            </w:tcMar>
            <w:vAlign w:val="center"/>
            <w:shd w:fill="E9EFF1"/>
          </w:tcPr>
          <w:p>
            <w:r>
              <w:rPr>
                <w:b/>
                <w:sz w:val="17"/>
              </w:rPr>
              <w:t>College list review</w:t>
            </w:r>
          </w:p>
        </w:tc>
        <w:tc>
          <w:tcPr>
            <w:tcW w:type="dxa" w:w="3264"/>
            <w:tcMar>
              <w:top w:w="80" w:type="dxa"/>
              <w:start w:w="80" w:type="dxa"/>
              <w:bottom w:w="80" w:type="dxa"/>
              <w:end w:w="80" w:type="dxa"/>
            </w:tcMar>
            <w:vAlign w:val="center"/>
          </w:tcPr>
          <w:p>
            <w:r>
              <w:rPr>
                <w:sz w:val="17"/>
              </w:rPr>
              <w:t>Included</w:t>
            </w:r>
          </w:p>
        </w:tc>
        <w:tc>
          <w:tcPr>
            <w:tcW w:type="dxa" w:w="3264"/>
            <w:tcMar>
              <w:top w:w="80" w:type="dxa"/>
              <w:start w:w="80" w:type="dxa"/>
              <w:bottom w:w="80" w:type="dxa"/>
              <w:end w:w="80" w:type="dxa"/>
            </w:tcMar>
            <w:vAlign w:val="center"/>
          </w:tcPr>
          <w:p>
            <w:r>
              <w:rPr>
                <w:sz w:val="17"/>
              </w:rPr>
              <w:t>Not included</w:t>
            </w:r>
          </w:p>
        </w:tc>
      </w:tr>
      <w:tr>
        <w:tc>
          <w:tcPr>
            <w:tcW w:type="dxa" w:w="3264"/>
            <w:tcMar>
              <w:top w:w="80" w:type="dxa"/>
              <w:start w:w="80" w:type="dxa"/>
              <w:bottom w:w="80" w:type="dxa"/>
              <w:end w:w="80" w:type="dxa"/>
            </w:tcMar>
            <w:vAlign w:val="center"/>
            <w:shd w:fill="E9EFF1"/>
          </w:tcPr>
          <w:p>
            <w:r>
              <w:rPr>
                <w:b/>
                <w:sz w:val="17"/>
              </w:rPr>
              <w:t>Cost / affordability conversation</w:t>
            </w:r>
          </w:p>
        </w:tc>
        <w:tc>
          <w:tcPr>
            <w:tcW w:type="dxa" w:w="3264"/>
            <w:tcMar>
              <w:top w:w="80" w:type="dxa"/>
              <w:start w:w="80" w:type="dxa"/>
              <w:bottom w:w="80" w:type="dxa"/>
              <w:end w:w="80" w:type="dxa"/>
            </w:tcMar>
            <w:vAlign w:val="center"/>
          </w:tcPr>
          <w:p>
            <w:r>
              <w:rPr>
                <w:sz w:val="17"/>
              </w:rPr>
              <w:t>Included</w:t>
            </w:r>
          </w:p>
        </w:tc>
        <w:tc>
          <w:tcPr>
            <w:tcW w:type="dxa" w:w="3264"/>
            <w:tcMar>
              <w:top w:w="80" w:type="dxa"/>
              <w:start w:w="80" w:type="dxa"/>
              <w:bottom w:w="80" w:type="dxa"/>
              <w:end w:w="80" w:type="dxa"/>
            </w:tcMar>
            <w:vAlign w:val="center"/>
          </w:tcPr>
          <w:p>
            <w:r>
              <w:rPr>
                <w:sz w:val="17"/>
              </w:rPr>
              <w:t>Not included</w:t>
            </w:r>
          </w:p>
        </w:tc>
      </w:tr>
      <w:tr>
        <w:tc>
          <w:tcPr>
            <w:tcW w:type="dxa" w:w="3264"/>
            <w:tcMar>
              <w:top w:w="80" w:type="dxa"/>
              <w:start w:w="80" w:type="dxa"/>
              <w:bottom w:w="80" w:type="dxa"/>
              <w:end w:w="80" w:type="dxa"/>
            </w:tcMar>
            <w:vAlign w:val="center"/>
            <w:shd w:fill="E9EFF1"/>
          </w:tcPr>
          <w:p>
            <w:r>
              <w:rPr>
                <w:b/>
                <w:sz w:val="17"/>
              </w:rPr>
              <w:t>Application Document Review</w:t>
            </w:r>
          </w:p>
        </w:tc>
        <w:tc>
          <w:tcPr>
            <w:tcW w:type="dxa" w:w="3264"/>
            <w:tcMar>
              <w:top w:w="80" w:type="dxa"/>
              <w:start w:w="80" w:type="dxa"/>
              <w:bottom w:w="80" w:type="dxa"/>
              <w:end w:w="80" w:type="dxa"/>
            </w:tcMar>
            <w:vAlign w:val="center"/>
          </w:tcPr>
          <w:p>
            <w:r>
              <w:rPr>
                <w:sz w:val="17"/>
              </w:rPr>
              <w:t>Included</w:t>
            </w:r>
          </w:p>
        </w:tc>
        <w:tc>
          <w:tcPr>
            <w:tcW w:type="dxa" w:w="3264"/>
            <w:tcMar>
              <w:top w:w="80" w:type="dxa"/>
              <w:start w:w="80" w:type="dxa"/>
              <w:bottom w:w="80" w:type="dxa"/>
              <w:end w:w="80" w:type="dxa"/>
            </w:tcMar>
            <w:vAlign w:val="center"/>
          </w:tcPr>
          <w:p>
            <w:r>
              <w:rPr>
                <w:sz w:val="17"/>
              </w:rPr>
              <w:t>Included</w:t>
            </w:r>
          </w:p>
        </w:tc>
      </w:tr>
      <w:tr>
        <w:tc>
          <w:tcPr>
            <w:tcW w:type="dxa" w:w="3264"/>
            <w:tcMar>
              <w:top w:w="80" w:type="dxa"/>
              <w:start w:w="80" w:type="dxa"/>
              <w:bottom w:w="80" w:type="dxa"/>
              <w:end w:w="80" w:type="dxa"/>
            </w:tcMar>
            <w:vAlign w:val="center"/>
            <w:shd w:fill="E9EFF1"/>
          </w:tcPr>
          <w:p>
            <w:r>
              <w:rPr>
                <w:b/>
                <w:sz w:val="17"/>
              </w:rPr>
              <w:t>Editing / rewriting</w:t>
            </w:r>
          </w:p>
        </w:tc>
        <w:tc>
          <w:tcPr>
            <w:tcW w:type="dxa" w:w="3264"/>
            <w:tcMar>
              <w:top w:w="80" w:type="dxa"/>
              <w:start w:w="80" w:type="dxa"/>
              <w:bottom w:w="80" w:type="dxa"/>
              <w:end w:w="80" w:type="dxa"/>
            </w:tcMar>
            <w:vAlign w:val="center"/>
          </w:tcPr>
          <w:p>
            <w:r>
              <w:rPr>
                <w:sz w:val="17"/>
              </w:rPr>
              <w:t>Not included</w:t>
            </w:r>
          </w:p>
        </w:tc>
        <w:tc>
          <w:tcPr>
            <w:tcW w:type="dxa" w:w="3264"/>
            <w:tcMar>
              <w:top w:w="80" w:type="dxa"/>
              <w:start w:w="80" w:type="dxa"/>
              <w:bottom w:w="80" w:type="dxa"/>
              <w:end w:w="80" w:type="dxa"/>
            </w:tcMar>
            <w:vAlign w:val="center"/>
          </w:tcPr>
          <w:p>
            <w:r>
              <w:rPr>
                <w:sz w:val="17"/>
              </w:rPr>
              <w:t>Not included</w:t>
            </w:r>
          </w:p>
        </w:tc>
      </w:tr>
      <w:tr>
        <w:tc>
          <w:tcPr>
            <w:tcW w:type="dxa" w:w="3264"/>
            <w:tcMar>
              <w:top w:w="80" w:type="dxa"/>
              <w:start w:w="80" w:type="dxa"/>
              <w:bottom w:w="80" w:type="dxa"/>
              <w:end w:w="80" w:type="dxa"/>
            </w:tcMar>
            <w:vAlign w:val="center"/>
            <w:shd w:fill="E9EFF1"/>
          </w:tcPr>
          <w:p>
            <w:r>
              <w:rPr>
                <w:b/>
                <w:sz w:val="17"/>
              </w:rPr>
              <w:t>Admissions guarantee / prediction</w:t>
            </w:r>
          </w:p>
        </w:tc>
        <w:tc>
          <w:tcPr>
            <w:tcW w:type="dxa" w:w="3264"/>
            <w:tcMar>
              <w:top w:w="80" w:type="dxa"/>
              <w:start w:w="80" w:type="dxa"/>
              <w:bottom w:w="80" w:type="dxa"/>
              <w:end w:w="80" w:type="dxa"/>
            </w:tcMar>
            <w:vAlign w:val="center"/>
          </w:tcPr>
          <w:p>
            <w:r>
              <w:rPr>
                <w:sz w:val="17"/>
              </w:rPr>
              <w:t>Not included</w:t>
            </w:r>
          </w:p>
        </w:tc>
        <w:tc>
          <w:tcPr>
            <w:tcW w:type="dxa" w:w="3264"/>
            <w:tcMar>
              <w:top w:w="80" w:type="dxa"/>
              <w:start w:w="80" w:type="dxa"/>
              <w:bottom w:w="80" w:type="dxa"/>
              <w:end w:w="80" w:type="dxa"/>
            </w:tcMar>
            <w:vAlign w:val="center"/>
          </w:tcPr>
          <w:p>
            <w:r>
              <w:rPr>
                <w:sz w:val="17"/>
              </w:rPr>
              <w:t>Not included</w:t>
            </w:r>
          </w:p>
        </w:tc>
      </w:tr>
    </w:tbl>
    <w:p>
      <w:r>
        <w:br w:type="page"/>
      </w:r>
    </w:p>
    <w:p>
      <w:pPr>
        <w:pStyle w:val="Heading1"/>
      </w:pPr>
      <w:r>
        <w:t>7. Recommended Language Framework</w:t>
      </w:r>
    </w:p>
    <w:p>
      <w:pPr>
        <w:pStyle w:val="Heading2"/>
      </w:pPr>
      <w:r>
        <w:t>Preferred Words</w:t>
      </w:r>
    </w:p>
    <w:p>
      <w:pPr>
        <w:pStyle w:val="ListBullet"/>
        <w:spacing w:after="50"/>
      </w:pPr>
      <w:r>
        <w:t>Review</w:t>
      </w:r>
    </w:p>
    <w:p>
      <w:pPr>
        <w:pStyle w:val="ListBullet"/>
        <w:spacing w:after="50"/>
      </w:pPr>
      <w:r>
        <w:t>Conversation</w:t>
      </w:r>
    </w:p>
    <w:p>
      <w:pPr>
        <w:pStyle w:val="ListBullet"/>
        <w:spacing w:after="50"/>
      </w:pPr>
      <w:r>
        <w:t>Feedback</w:t>
      </w:r>
    </w:p>
    <w:p>
      <w:pPr>
        <w:pStyle w:val="ListBullet"/>
        <w:spacing w:after="50"/>
      </w:pPr>
      <w:r>
        <w:t>Professional perspective</w:t>
      </w:r>
    </w:p>
    <w:p>
      <w:pPr>
        <w:pStyle w:val="ListBullet"/>
        <w:spacing w:after="50"/>
      </w:pPr>
      <w:r>
        <w:t>Questions to consider</w:t>
      </w:r>
    </w:p>
    <w:p>
      <w:pPr>
        <w:pStyle w:val="ListBullet"/>
        <w:spacing w:after="50"/>
      </w:pPr>
      <w:r>
        <w:t>Factors to consider</w:t>
      </w:r>
    </w:p>
    <w:p>
      <w:pPr>
        <w:pStyle w:val="ListBullet"/>
        <w:spacing w:after="50"/>
      </w:pPr>
      <w:r>
        <w:t>College goals</w:t>
      </w:r>
    </w:p>
    <w:p>
      <w:pPr>
        <w:pStyle w:val="ListBullet"/>
        <w:spacing w:after="50"/>
      </w:pPr>
      <w:r>
        <w:t>College experience</w:t>
      </w:r>
    </w:p>
    <w:p>
      <w:pPr>
        <w:pStyle w:val="ListBullet"/>
        <w:spacing w:after="50"/>
      </w:pPr>
      <w:r>
        <w:t>Application profile</w:t>
      </w:r>
    </w:p>
    <w:p>
      <w:pPr>
        <w:pStyle w:val="ListBullet"/>
        <w:spacing w:after="50"/>
      </w:pPr>
      <w:r>
        <w:t>Application documents</w:t>
      </w:r>
    </w:p>
    <w:p>
      <w:pPr>
        <w:pStyle w:val="ListBullet"/>
        <w:spacing w:after="50"/>
      </w:pPr>
      <w:r>
        <w:t>Clarity and coherence</w:t>
      </w:r>
    </w:p>
    <w:p>
      <w:pPr>
        <w:pStyle w:val="ListBullet"/>
        <w:spacing w:after="50"/>
      </w:pPr>
      <w:r>
        <w:t>Tradeoffs</w:t>
      </w:r>
    </w:p>
    <w:p>
      <w:pPr>
        <w:pStyle w:val="Heading2"/>
      </w:pPr>
      <w:r>
        <w:t>Words or Claims to Avoid</w:t>
      </w:r>
    </w:p>
    <w:p>
      <w:pPr>
        <w:pStyle w:val="ListBullet"/>
        <w:spacing w:after="50"/>
      </w:pPr>
      <w:r>
        <w:t>Strategy, when it could imply a promised admissions outcome</w:t>
      </w:r>
    </w:p>
    <w:p>
      <w:pPr>
        <w:pStyle w:val="ListBullet"/>
        <w:spacing w:after="50"/>
      </w:pPr>
      <w:r>
        <w:t>Guaranteed admission</w:t>
      </w:r>
    </w:p>
    <w:p>
      <w:pPr>
        <w:pStyle w:val="ListBullet"/>
        <w:spacing w:after="50"/>
      </w:pPr>
      <w:r>
        <w:t>Increase your chances, unless supported by carefully qualified evidence</w:t>
      </w:r>
    </w:p>
    <w:p>
      <w:pPr>
        <w:pStyle w:val="ListBullet"/>
        <w:spacing w:after="50"/>
      </w:pPr>
      <w:r>
        <w:t>Get you into</w:t>
      </w:r>
    </w:p>
    <w:p>
      <w:pPr>
        <w:pStyle w:val="ListBullet"/>
        <w:spacing w:after="50"/>
      </w:pPr>
      <w:r>
        <w:t>Winning application</w:t>
      </w:r>
    </w:p>
    <w:p>
      <w:pPr>
        <w:pStyle w:val="ListBullet"/>
        <w:spacing w:after="50"/>
      </w:pPr>
      <w:r>
        <w:t>Perfect application</w:t>
      </w:r>
    </w:p>
    <w:p>
      <w:pPr>
        <w:pStyle w:val="ListBullet"/>
        <w:spacing w:after="50"/>
      </w:pPr>
      <w:r>
        <w:t>Secret formula</w:t>
      </w:r>
    </w:p>
    <w:p>
      <w:pPr>
        <w:pStyle w:val="ListBullet"/>
        <w:spacing w:after="50"/>
      </w:pPr>
      <w:r>
        <w:t>We know what admissions wants</w:t>
      </w:r>
    </w:p>
    <w:p>
      <w:pPr>
        <w:pStyle w:val="ListBullet"/>
        <w:spacing w:after="50"/>
      </w:pPr>
      <w:r>
        <w:t>We will make your application stand out</w:t>
      </w:r>
    </w:p>
    <w:p>
      <w:pPr>
        <w:pStyle w:val="ListBullet"/>
        <w:spacing w:after="50"/>
      </w:pPr>
      <w:r>
        <w:t>Any language implying Rosa will write or substantially rewrite the student's work</w:t>
      </w:r>
    </w:p>
    <w:p>
      <w:pPr>
        <w:pStyle w:val="Heading2"/>
      </w:pPr>
      <w:r>
        <w:t>Sample Scope Language</w:t>
      </w:r>
    </w:p>
    <w:p>
      <w:r>
        <w:rPr>
          <w:b/>
        </w:rPr>
        <w:t xml:space="preserve">Application review: </w:t>
      </w:r>
      <w:r>
        <w:t>VeriPathways provides professional feedback on how clearly and cohesively a student's completed application presents their experiences, interests, goals, and perspective. The student remains responsible for all final content and revisions.</w:t>
      </w:r>
    </w:p>
    <w:p>
      <w:r>
        <w:rPr>
          <w:b/>
        </w:rPr>
        <w:t xml:space="preserve">Admissions outcomes: </w:t>
      </w:r>
      <w:r>
        <w:t>VeriPathways does not promise, predict, or guarantee admission to any college or university. Admissions decisions are made solely by the institutions to which the student applies.</w:t>
      </w:r>
    </w:p>
    <w:p>
      <w:r>
        <w:rPr>
          <w:b/>
        </w:rPr>
        <w:t xml:space="preserve">Document authorship: </w:t>
      </w:r>
      <w:r>
        <w:t>VeriPathways reviews and comments on application materials but does not author essays or application responses on behalf of the student.</w:t>
      </w:r>
    </w:p>
    <w:p>
      <w:r>
        <w:rPr>
          <w:b/>
        </w:rPr>
        <w:t xml:space="preserve">Financial considerations: </w:t>
      </w:r>
      <w:r>
        <w:t>Any discussion of college cost is intended to help families identify and consider affordability as part of the college decision. It is not financial, tax, or investment advice.</w:t>
      </w:r>
    </w:p>
    <w:p>
      <w:pPr>
        <w:pStyle w:val="Heading1"/>
      </w:pPr>
      <w:r>
        <w:t>8. Proposed Client Journey</w:t>
      </w:r>
    </w:p>
    <w:p>
      <w:pPr>
        <w:pStyle w:val="Heading2"/>
      </w:pPr>
      <w:r>
        <w:t>Package #1 Journey</w:t>
      </w:r>
    </w:p>
    <w:p>
      <w:pPr>
        <w:spacing w:after="80"/>
      </w:pPr>
      <w:r>
        <w:rPr>
          <w:b/>
          <w:color w:val="1F374A"/>
        </w:rPr>
        <w:t xml:space="preserve">1. Intake — </w:t>
      </w:r>
      <w:r>
        <w:t>Student and family provide background information, current interests, and any initial school ideas.</w:t>
      </w:r>
    </w:p>
    <w:p>
      <w:pPr>
        <w:spacing w:after="80"/>
      </w:pPr>
      <w:r>
        <w:rPr>
          <w:b/>
          <w:color w:val="1F374A"/>
        </w:rPr>
        <w:t xml:space="preserve">2. College Conversation — </w:t>
      </w:r>
      <w:r>
        <w:t>Rosa discusses the student's goals, desired college experience, career interests, and personal priorities.</w:t>
      </w:r>
    </w:p>
    <w:p>
      <w:pPr>
        <w:spacing w:after="80"/>
      </w:pPr>
      <w:r>
        <w:rPr>
          <w:b/>
          <w:color w:val="1F374A"/>
        </w:rPr>
        <w:t xml:space="preserve">3. College List Review — </w:t>
      </w:r>
      <w:r>
        <w:t>Rosa reviews the list through the context of the student’s goals and raises questions or considerations.</w:t>
      </w:r>
    </w:p>
    <w:p>
      <w:pPr>
        <w:spacing w:after="80"/>
      </w:pPr>
      <w:r>
        <w:rPr>
          <w:b/>
          <w:color w:val="1F374A"/>
        </w:rPr>
        <w:t xml:space="preserve">4. Cost Conversation — </w:t>
      </w:r>
      <w:r>
        <w:t>The family discusses affordability, expectations, and willingness to pay.</w:t>
      </w:r>
    </w:p>
    <w:p>
      <w:pPr>
        <w:spacing w:after="80"/>
      </w:pPr>
      <w:r>
        <w:rPr>
          <w:b/>
          <w:color w:val="1F374A"/>
        </w:rPr>
        <w:t xml:space="preserve">5. Application Stage — </w:t>
      </w:r>
      <w:r>
        <w:t>When the student begins applying, they prepare their own application materials.</w:t>
      </w:r>
    </w:p>
    <w:p>
      <w:pPr>
        <w:spacing w:after="80"/>
      </w:pPr>
      <w:r>
        <w:rPr>
          <w:b/>
          <w:color w:val="1F374A"/>
        </w:rPr>
        <w:t xml:space="preserve">6. Application Document Review — </w:t>
      </w:r>
      <w:r>
        <w:t>Rosa reviews the application profile and provides feedback.</w:t>
      </w:r>
    </w:p>
    <w:p>
      <w:pPr>
        <w:spacing w:after="80"/>
      </w:pPr>
      <w:r>
        <w:rPr>
          <w:b/>
          <w:color w:val="1F374A"/>
        </w:rPr>
        <w:t xml:space="preserve">7. Student Revision — </w:t>
      </w:r>
      <w:r>
        <w:t>The student decides how to incorporate the feedback and retains ownership of all final content.</w:t>
      </w:r>
    </w:p>
    <w:p>
      <w:pPr>
        <w:pStyle w:val="Heading2"/>
      </w:pPr>
      <w:r>
        <w:t>Package #2 Journey</w:t>
      </w:r>
    </w:p>
    <w:p>
      <w:pPr>
        <w:spacing w:after="80"/>
      </w:pPr>
      <w:r>
        <w:rPr>
          <w:b/>
          <w:color w:val="1F374A"/>
        </w:rPr>
        <w:t xml:space="preserve">1. Intake — </w:t>
      </w:r>
      <w:r>
        <w:t>Student submits the agreed-upon completed or near-completed application materials.</w:t>
      </w:r>
    </w:p>
    <w:p>
      <w:pPr>
        <w:spacing w:after="80"/>
      </w:pPr>
      <w:r>
        <w:rPr>
          <w:b/>
          <w:color w:val="1F374A"/>
        </w:rPr>
        <w:t xml:space="preserve">2. Application Document Review — </w:t>
      </w:r>
      <w:r>
        <w:t>Rosa reviews the materials as a complete profile.</w:t>
      </w:r>
    </w:p>
    <w:p>
      <w:pPr>
        <w:spacing w:after="80"/>
      </w:pPr>
      <w:r>
        <w:rPr>
          <w:b/>
          <w:color w:val="1F374A"/>
        </w:rPr>
        <w:t xml:space="preserve">3. Feedback — </w:t>
      </w:r>
      <w:r>
        <w:t>Rosa identifies strengths, areas of uncertainty, questions, and opportunities for clearer communication.</w:t>
      </w:r>
    </w:p>
    <w:p>
      <w:pPr>
        <w:spacing w:after="80"/>
      </w:pPr>
      <w:r>
        <w:rPr>
          <w:b/>
          <w:color w:val="1F374A"/>
        </w:rPr>
        <w:t xml:space="preserve">4. Student Revision — </w:t>
      </w:r>
      <w:r>
        <w:t>The student makes their own revisions and retains ownership of the application.</w:t>
      </w:r>
    </w:p>
    <w:p>
      <w:pPr>
        <w:spacing w:after="80"/>
      </w:pPr>
      <w:r>
        <w:rPr>
          <w:b/>
          <w:color w:val="1F374A"/>
        </w:rPr>
        <w:t xml:space="preserve">5. Optional Follow-Up — </w:t>
      </w:r>
      <w:r>
        <w:t>If included in the final scope, Rosa and the student discuss the feedback or a defined second review.</w:t>
      </w:r>
    </w:p>
    <w:p>
      <w:pPr>
        <w:pStyle w:val="Heading1"/>
      </w:pPr>
      <w:r>
        <w:t>9. Business Decisions Still to Finalize</w:t>
      </w:r>
    </w:p>
    <w:p>
      <w:r>
        <w:t>The package concepts are clear, but several operational rules should be decided before publishing them.</w:t>
      </w:r>
    </w:p>
    <w:p>
      <w:pPr>
        <w:pStyle w:val="ListNumber"/>
        <w:spacing w:after="60"/>
      </w:pPr>
      <w:r>
        <w:t>Package duration: If a student begins Package #1 in 10th grade, how long does the engagement remain active?</w:t>
      </w:r>
    </w:p>
    <w:p>
      <w:pPr>
        <w:pStyle w:val="ListNumber"/>
        <w:spacing w:after="60"/>
      </w:pPr>
      <w:r>
        <w:t>Application review timing: When can Package #1 clients use the included Application Document Review?</w:t>
      </w:r>
    </w:p>
    <w:p>
      <w:pPr>
        <w:pStyle w:val="ListNumber"/>
        <w:spacing w:after="60"/>
      </w:pPr>
      <w:r>
        <w:t>Document limits: How many core applications, supplements, or school-specific essay sets are included?</w:t>
      </w:r>
    </w:p>
    <w:p>
      <w:pPr>
        <w:pStyle w:val="ListNumber"/>
        <w:spacing w:after="60"/>
      </w:pPr>
      <w:r>
        <w:t>Review cycles: Is feedback provided once, or does the package include a second review after the student revises?</w:t>
      </w:r>
    </w:p>
    <w:p>
      <w:pPr>
        <w:pStyle w:val="ListNumber"/>
        <w:spacing w:after="60"/>
      </w:pPr>
      <w:r>
        <w:t>Feedback format: Written comments, live conversation, recorded feedback, or a combination?</w:t>
      </w:r>
    </w:p>
    <w:p>
      <w:pPr>
        <w:pStyle w:val="ListNumber"/>
        <w:spacing w:after="60"/>
      </w:pPr>
      <w:r>
        <w:t>Turnaround: What review turnaround can Rosa reliably promise during peak application season?</w:t>
      </w:r>
    </w:p>
    <w:p>
      <w:pPr>
        <w:pStyle w:val="ListNumber"/>
        <w:spacing w:after="60"/>
      </w:pPr>
      <w:r>
        <w:t>Communication access: Is email/text access included, and if so, what boundaries apply?</w:t>
      </w:r>
    </w:p>
    <w:p>
      <w:pPr>
        <w:pStyle w:val="ListNumber"/>
        <w:spacing w:after="60"/>
      </w:pPr>
      <w:r>
        <w:t>Family participation: Which conversations include parents or guardians, and which are student-only?</w:t>
      </w:r>
    </w:p>
    <w:p>
      <w:pPr>
        <w:pStyle w:val="ListNumber"/>
        <w:spacing w:after="60"/>
      </w:pPr>
      <w:r>
        <w:t>Age / grade flexibility: Can a 12th grader purchase Package #1 if they still need the broader college conversation?</w:t>
      </w:r>
    </w:p>
    <w:p>
      <w:pPr>
        <w:pStyle w:val="ListNumber"/>
        <w:spacing w:after="60"/>
      </w:pPr>
      <w:r>
        <w:t>Scope changes: What happens if the student requests work outside the package?</w:t>
      </w:r>
    </w:p>
    <w:p>
      <w:pPr>
        <w:pStyle w:val="Heading1"/>
      </w:pPr>
      <w:r>
        <w:t>10. Future Website Presentation</w:t>
      </w:r>
    </w:p>
    <w:p>
      <w:r>
        <w:t>When these services are ready for the website, they can sit beneath a simple category such as “Applying to College.” This keeps the user experience straightforward and leaves room for separate VeriPathways categories later, such as undergraduate opportunities, graduate education, research pathways, and faculty careers.</w:t>
      </w:r>
    </w:p>
    <w:tbl>
      <w:tblPr>
        <w:tblStyle w:val="TableGrid"/>
        <w:tblW w:type="auto" w:w="0"/>
        <w:jc w:val="center"/>
        <w:tblLook w:firstColumn="1" w:firstRow="1" w:lastColumn="0" w:lastRow="0" w:noHBand="0" w:noVBand="1" w:val="04A0"/>
      </w:tblPr>
      <w:tblGrid>
        <w:gridCol w:w="4896"/>
        <w:gridCol w:w="4896"/>
      </w:tblGrid>
      <w:tr>
        <w:tc>
          <w:tcPr>
            <w:tcW w:type="dxa" w:w="4896"/>
            <w:tcMar>
              <w:top w:w="90" w:type="dxa"/>
              <w:start w:w="90" w:type="dxa"/>
              <w:bottom w:w="90" w:type="dxa"/>
              <w:end w:w="90" w:type="dxa"/>
            </w:tcMar>
            <w:shd w:fill="1F374A"/>
          </w:tcPr>
          <w:p>
            <w:r>
              <w:rPr>
                <w:b/>
                <w:color w:val="FFFFFF"/>
                <w:sz w:val="18"/>
              </w:rPr>
              <w:t>Applying to College</w:t>
            </w:r>
          </w:p>
        </w:tc>
        <w:tc>
          <w:tcPr>
            <w:tcW w:type="dxa" w:w="4896"/>
            <w:tcMar>
              <w:top w:w="90" w:type="dxa"/>
              <w:start w:w="90" w:type="dxa"/>
              <w:bottom w:w="90" w:type="dxa"/>
              <w:end w:w="90" w:type="dxa"/>
            </w:tcMar>
            <w:shd w:fill="1F374A"/>
          </w:tcPr>
          <w:p>
            <w:r>
              <w:rPr>
                <w:b/>
                <w:color w:val="FFFFFF"/>
                <w:sz w:val="18"/>
              </w:rPr>
              <w:t>Purpose</w:t>
            </w:r>
          </w:p>
        </w:tc>
      </w:tr>
      <w:tr>
        <w:tc>
          <w:tcPr>
            <w:tcW w:type="dxa" w:w="4896"/>
            <w:tcMar>
              <w:top w:w="90" w:type="dxa"/>
              <w:start w:w="90" w:type="dxa"/>
              <w:bottom w:w="90" w:type="dxa"/>
              <w:end w:w="90" w:type="dxa"/>
            </w:tcMar>
          </w:tcPr>
          <w:p>
            <w:r>
              <w:rPr>
                <w:sz w:val="18"/>
              </w:rPr>
              <w:t>College Conversation + Application Review</w:t>
            </w:r>
          </w:p>
        </w:tc>
        <w:tc>
          <w:tcPr>
            <w:tcW w:type="dxa" w:w="4896"/>
            <w:tcMar>
              <w:top w:w="90" w:type="dxa"/>
              <w:start w:w="90" w:type="dxa"/>
              <w:bottom w:w="90" w:type="dxa"/>
              <w:end w:w="90" w:type="dxa"/>
            </w:tcMar>
          </w:tcPr>
          <w:p>
            <w:r>
              <w:rPr>
                <w:sz w:val="18"/>
              </w:rPr>
              <w:t>Begin the college conversation early, review the college list and goals, then receive professional application document feedback when applying.</w:t>
            </w:r>
          </w:p>
        </w:tc>
      </w:tr>
      <w:tr>
        <w:tc>
          <w:tcPr>
            <w:tcW w:type="dxa" w:w="4896"/>
            <w:tcMar>
              <w:top w:w="90" w:type="dxa"/>
              <w:start w:w="90" w:type="dxa"/>
              <w:bottom w:w="90" w:type="dxa"/>
              <w:end w:w="90" w:type="dxa"/>
            </w:tcMar>
          </w:tcPr>
          <w:p>
            <w:r>
              <w:rPr>
                <w:sz w:val="18"/>
              </w:rPr>
              <w:t>Application Document Review</w:t>
            </w:r>
          </w:p>
        </w:tc>
        <w:tc>
          <w:tcPr>
            <w:tcW w:type="dxa" w:w="4896"/>
            <w:tcMar>
              <w:top w:w="90" w:type="dxa"/>
              <w:start w:w="90" w:type="dxa"/>
              <w:bottom w:w="90" w:type="dxa"/>
              <w:end w:w="90" w:type="dxa"/>
            </w:tcMar>
          </w:tcPr>
          <w:p>
            <w:r>
              <w:rPr>
                <w:sz w:val="18"/>
              </w:rPr>
              <w:t>Receive professional feedback on completed or near-completed application materials without broader college-list or career-goal advising.</w:t>
            </w:r>
          </w:p>
        </w:tc>
      </w:tr>
    </w:tbl>
    <w:p>
      <w:pPr>
        <w:pStyle w:val="Heading1"/>
      </w:pPr>
      <w:r>
        <w:t>11. Working Brand Principle</w:t>
      </w:r>
    </w:p>
    <w:p>
      <w:r>
        <w:t>These packages should reinforce a consistent VeriPathways identity: the student is not being sold a promise of admission. The student and family are receiving thoughtful questions, experienced perspective, professional review, and feedback that can help them make more intentional choices and communicate the student's own story more clearly.</w:t>
      </w:r>
    </w:p>
    <w:p>
      <w:pPr>
        <w:pStyle w:val="Callout"/>
        <w:jc w:val="center"/>
      </w:pPr>
      <w:r>
        <w:rPr>
          <w:b/>
        </w:rPr>
        <w:t>Review the choices. Review the application. Keep the student at the center.</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86E"/>
        <w:sz w:val="16"/>
      </w:rPr>
      <w:t>Working Draft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86E"/>
        <w:sz w:val="16"/>
      </w:rPr>
      <w:t>VERIPATHWAYS  |  COLLEGE APPLICATION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62B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374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D767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37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60"/>
      <w:ind w:left="360" w:right="216"/>
    </w:pPr>
    <w:rPr>
      <w:rFonts w:ascii="Aptos" w:hAnsi="Aptos"/>
      <w:i/>
      <w:color w:val="1F374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