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13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906"/>
        <w:gridCol w:w="3351"/>
        <w:gridCol w:w="284"/>
        <w:gridCol w:w="3481"/>
        <w:gridCol w:w="1113"/>
      </w:tblGrid>
      <w:tr w14:paraId="375591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268" w:hRule="atLeast"/>
          <w:jc w:val="center"/>
        </w:trPr>
        <w:tc>
          <w:tcPr>
            <w:tcW w:w="9135" w:type="dxa"/>
            <w:gridSpan w:val="5"/>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45BD5C1F">
            <w:pPr>
              <w:pStyle w:val="13"/>
              <w:jc w:val="center"/>
              <w:rPr>
                <w:rFonts w:hint="default" w:eastAsia="宋体"/>
                <w:b/>
                <w:color w:val="000000"/>
                <w:lang w:val="en-US" w:eastAsia="zh-CN"/>
              </w:rPr>
            </w:pPr>
            <w:r>
              <w:rPr>
                <w:rFonts w:hint="eastAsia"/>
                <w:b/>
                <w:color w:val="000000"/>
                <w:sz w:val="56"/>
                <w:szCs w:val="56"/>
                <w:lang w:val="en-US" w:eastAsia="zh-CN"/>
              </w:rPr>
              <w:t>大  创  申  请  书</w:t>
            </w:r>
          </w:p>
        </w:tc>
      </w:tr>
      <w:tr w14:paraId="3B97D6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545" w:hRule="atLeast"/>
          <w:jc w:val="center"/>
        </w:trPr>
        <w:tc>
          <w:tcPr>
            <w:tcW w:w="9135" w:type="dxa"/>
            <w:gridSpan w:val="5"/>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top"/>
          </w:tcPr>
          <w:p w14:paraId="33BD12A4">
            <w:pPr>
              <w:spacing w:line="580" w:lineRule="exact"/>
              <w:jc w:val="both"/>
              <w:outlineLvl w:val="9"/>
            </w:pPr>
            <w:r>
              <w:rPr>
                <w:rFonts w:ascii="Times New Roman" w:hAnsi="Times New Roman" w:eastAsia="方正小标宋简体" w:cs="Times New Roman"/>
                <w:sz w:val="44"/>
                <w:szCs w:val="44"/>
                <w:highlight w:val="none"/>
              </w:rPr>
              <w:t>基于唇部多模态识别的生物密钥技术及其应用</w:t>
            </w:r>
          </w:p>
        </w:tc>
      </w:tr>
      <w:tr w14:paraId="051D8A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622" w:hRule="atLeast"/>
          <w:jc w:val="center"/>
        </w:trPr>
        <w:tc>
          <w:tcPr>
            <w:tcW w:w="906" w:type="dxa"/>
            <w:vMerge w:val="restart"/>
            <w:tcBorders>
              <w:top w:val="single" w:color="auto" w:sz="4" w:space="0"/>
              <w:left w:val="single" w:color="auto" w:sz="4" w:space="0"/>
              <w:bottom w:val="nil"/>
              <w:right w:val="nil"/>
            </w:tcBorders>
            <w:noWrap w:val="0"/>
            <w:tcMar>
              <w:top w:w="-1" w:type="dxa"/>
              <w:left w:w="-1" w:type="dxa"/>
              <w:bottom w:w="-1" w:type="dxa"/>
              <w:right w:w="-1" w:type="dxa"/>
            </w:tcMar>
            <w:vAlign w:val="center"/>
          </w:tcPr>
          <w:p w14:paraId="2B493263">
            <w:pPr>
              <w:adjustRightInd w:val="0"/>
              <w:snapToGrid w:val="0"/>
              <w:rPr>
                <w:rFonts w:hint="eastAsia" w:eastAsia="楷体_GB2312"/>
                <w:color w:val="000000"/>
                <w:sz w:val="52"/>
              </w:rPr>
            </w:pPr>
          </w:p>
        </w:tc>
        <w:tc>
          <w:tcPr>
            <w:tcW w:w="335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19C0971C">
            <w:pPr>
              <w:pStyle w:val="14"/>
              <w:ind w:firstLine="0" w:firstLineChars="0"/>
              <w:rPr>
                <w:rFonts w:hint="eastAsia"/>
              </w:rPr>
            </w:pPr>
            <w:r>
              <w:rPr>
                <w:rFonts w:hint="eastAsia"/>
                <w:lang w:val="en-US" w:eastAsia="zh-CN"/>
              </w:rPr>
              <w:t>学生</w:t>
            </w:r>
            <w:r>
              <w:rPr>
                <w:rFonts w:hint="eastAsia"/>
              </w:rPr>
              <w:t>姓名</w:t>
            </w:r>
            <w:r>
              <w:rPr>
                <w:rFonts w:hint="eastAsia"/>
                <w:lang w:val="en-US" w:eastAsia="zh-CN"/>
              </w:rPr>
              <w:t>及学号</w:t>
            </w:r>
            <w:r>
              <w:rPr>
                <w:rFonts w:hint="eastAsia"/>
              </w:rPr>
              <w:t>：</w:t>
            </w:r>
          </w:p>
        </w:tc>
        <w:tc>
          <w:tcPr>
            <w:tcW w:w="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F58A883">
            <w:pPr>
              <w:pStyle w:val="14"/>
              <w:ind w:firstLine="1960"/>
            </w:pPr>
            <w:r>
              <w:rPr>
                <w:rFonts w:hint="eastAsia"/>
              </w:rPr>
              <w:t>：</w:t>
            </w:r>
          </w:p>
        </w:tc>
        <w:tc>
          <w:tcPr>
            <w:tcW w:w="34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D2D9CC">
            <w:pPr>
              <w:pStyle w:val="14"/>
              <w:ind w:firstLine="0" w:firstLineChars="0"/>
              <w:rPr>
                <w:rFonts w:hint="eastAsia"/>
                <w:spacing w:val="20"/>
                <w:lang w:val="en-US" w:eastAsia="zh-CN"/>
              </w:rPr>
            </w:pPr>
            <w:r>
              <w:rPr>
                <w:rFonts w:hint="eastAsia"/>
                <w:spacing w:val="20"/>
                <w:lang w:val="en-US" w:eastAsia="zh-CN"/>
              </w:rPr>
              <w:t>饶一然20252332</w:t>
            </w:r>
          </w:p>
          <w:p w14:paraId="032F5A4E">
            <w:pPr>
              <w:pStyle w:val="14"/>
              <w:ind w:firstLine="0" w:firstLineChars="0"/>
              <w:rPr>
                <w:rFonts w:hint="eastAsia"/>
                <w:spacing w:val="20"/>
                <w:lang w:val="en-US" w:eastAsia="zh-CN"/>
              </w:rPr>
            </w:pPr>
            <w:r>
              <w:rPr>
                <w:rFonts w:hint="eastAsia"/>
                <w:spacing w:val="20"/>
                <w:lang w:val="en-US" w:eastAsia="zh-CN"/>
              </w:rPr>
              <w:t>方佳音20252312</w:t>
            </w:r>
          </w:p>
          <w:p w14:paraId="2C9F8FB6">
            <w:pPr>
              <w:pStyle w:val="14"/>
              <w:ind w:firstLine="0" w:firstLineChars="0"/>
              <w:rPr>
                <w:rFonts w:hint="eastAsia"/>
                <w:spacing w:val="20"/>
                <w:lang w:val="en-US" w:eastAsia="zh-CN"/>
              </w:rPr>
            </w:pPr>
            <w:r>
              <w:rPr>
                <w:rFonts w:hint="eastAsia"/>
                <w:spacing w:val="20"/>
                <w:lang w:val="en-US" w:eastAsia="zh-CN"/>
              </w:rPr>
              <w:t>李仰楠20252311</w:t>
            </w:r>
          </w:p>
          <w:p w14:paraId="1248C062">
            <w:pPr>
              <w:pStyle w:val="14"/>
              <w:ind w:firstLine="0" w:firstLineChars="0"/>
              <w:rPr>
                <w:rFonts w:hint="default"/>
                <w:spacing w:val="20"/>
                <w:lang w:val="en-US" w:eastAsia="zh-CN"/>
              </w:rPr>
            </w:pPr>
            <w:r>
              <w:rPr>
                <w:rFonts w:hint="eastAsia"/>
                <w:spacing w:val="20"/>
                <w:lang w:val="en-US" w:eastAsia="zh-CN"/>
              </w:rPr>
              <w:t>吴  双20252412</w:t>
            </w:r>
          </w:p>
        </w:tc>
        <w:tc>
          <w:tcPr>
            <w:tcW w:w="1113" w:type="dxa"/>
            <w:vMerge w:val="restart"/>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3A08077A">
            <w:pPr>
              <w:adjustRightInd w:val="0"/>
              <w:snapToGrid w:val="0"/>
              <w:rPr>
                <w:rFonts w:hint="eastAsia" w:eastAsia="楷体_GB2312"/>
                <w:color w:val="000000"/>
                <w:sz w:val="52"/>
              </w:rPr>
            </w:pPr>
          </w:p>
        </w:tc>
      </w:tr>
      <w:tr w14:paraId="63F517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630" w:hRule="atLeast"/>
          <w:jc w:val="center"/>
        </w:trPr>
        <w:tc>
          <w:tcPr>
            <w:tcW w:w="906" w:type="dxa"/>
            <w:vMerge w:val="continue"/>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240D13">
            <w:pPr>
              <w:widowControl/>
              <w:jc w:val="left"/>
              <w:rPr>
                <w:rFonts w:eastAsia="楷体_GB2312"/>
                <w:color w:val="000000"/>
                <w:sz w:val="52"/>
              </w:rPr>
            </w:pPr>
          </w:p>
        </w:tc>
        <w:tc>
          <w:tcPr>
            <w:tcW w:w="335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DDBEF1F">
            <w:pPr>
              <w:pStyle w:val="14"/>
              <w:ind w:firstLine="0" w:firstLineChars="0"/>
            </w:pPr>
            <w:r>
              <w:rPr>
                <w:rFonts w:hint="eastAsia"/>
              </w:rPr>
              <w:t>指导教师姓名：</w:t>
            </w:r>
          </w:p>
        </w:tc>
        <w:tc>
          <w:tcPr>
            <w:tcW w:w="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ACFA69">
            <w:pPr>
              <w:pStyle w:val="14"/>
              <w:ind w:firstLine="1960"/>
            </w:pPr>
            <w:r>
              <w:rPr>
                <w:rFonts w:hint="eastAsia"/>
              </w:rPr>
              <w:t>：</w:t>
            </w:r>
          </w:p>
        </w:tc>
        <w:tc>
          <w:tcPr>
            <w:tcW w:w="34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DB66060">
            <w:pPr>
              <w:pStyle w:val="14"/>
              <w:ind w:firstLine="0" w:firstLineChars="0"/>
              <w:rPr>
                <w:rFonts w:hint="default" w:eastAsia="宋体"/>
                <w:lang w:val="en-US" w:eastAsia="zh-CN"/>
              </w:rPr>
            </w:pPr>
            <w:r>
              <w:rPr>
                <w:rFonts w:hint="eastAsia"/>
                <w:lang w:val="en-US" w:eastAsia="zh-CN"/>
              </w:rPr>
              <w:t>赵绪营</w:t>
            </w:r>
          </w:p>
        </w:tc>
        <w:tc>
          <w:tcPr>
            <w:tcW w:w="1113" w:type="dxa"/>
            <w:vMerge w:val="continue"/>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BD16F0D">
            <w:pPr>
              <w:widowControl/>
              <w:jc w:val="distribute"/>
              <w:rPr>
                <w:rFonts w:eastAsia="楷体_GB2312"/>
                <w:color w:val="000000"/>
                <w:sz w:val="52"/>
              </w:rPr>
            </w:pPr>
          </w:p>
        </w:tc>
      </w:tr>
      <w:tr w14:paraId="606BE5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630" w:hRule="atLeast"/>
          <w:jc w:val="center"/>
        </w:trPr>
        <w:tc>
          <w:tcPr>
            <w:tcW w:w="906" w:type="dxa"/>
            <w:vMerge w:val="continue"/>
            <w:tcBorders>
              <w:top w:val="single" w:color="auto" w:sz="4" w:space="0"/>
              <w:left w:val="single" w:color="auto" w:sz="4" w:space="0"/>
              <w:bottom w:val="nil"/>
              <w:right w:val="nil"/>
            </w:tcBorders>
            <w:noWrap w:val="0"/>
            <w:tcMar>
              <w:top w:w="-1" w:type="dxa"/>
              <w:left w:w="-1" w:type="dxa"/>
              <w:bottom w:w="-1" w:type="dxa"/>
              <w:right w:w="-1" w:type="dxa"/>
            </w:tcMar>
            <w:vAlign w:val="center"/>
          </w:tcPr>
          <w:p w14:paraId="020E8006">
            <w:pPr>
              <w:widowControl/>
              <w:jc w:val="left"/>
              <w:rPr>
                <w:rFonts w:eastAsia="楷体_GB2312"/>
                <w:color w:val="000000"/>
                <w:sz w:val="52"/>
              </w:rPr>
            </w:pPr>
          </w:p>
        </w:tc>
        <w:tc>
          <w:tcPr>
            <w:tcW w:w="335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A9E1E7E">
            <w:pPr>
              <w:pStyle w:val="14"/>
              <w:ind w:firstLine="0" w:firstLineChars="0"/>
            </w:pPr>
            <w:r>
              <w:rPr>
                <w:rFonts w:hint="eastAsia"/>
              </w:rPr>
              <w:t xml:space="preserve">专   业   名  </w:t>
            </w:r>
            <w:r>
              <w:t xml:space="preserve"> </w:t>
            </w:r>
            <w:r>
              <w:rPr>
                <w:rFonts w:hint="eastAsia"/>
              </w:rPr>
              <w:t xml:space="preserve"> 称：</w:t>
            </w:r>
          </w:p>
        </w:tc>
        <w:tc>
          <w:tcPr>
            <w:tcW w:w="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D08907">
            <w:pPr>
              <w:pStyle w:val="14"/>
              <w:ind w:firstLine="1960"/>
            </w:pPr>
            <w:r>
              <w:rPr>
                <w:rFonts w:hint="eastAsia"/>
              </w:rPr>
              <w:t>：</w:t>
            </w:r>
          </w:p>
        </w:tc>
        <w:tc>
          <w:tcPr>
            <w:tcW w:w="34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531C254">
            <w:pPr>
              <w:pStyle w:val="14"/>
              <w:ind w:firstLine="0" w:firstLineChars="0"/>
              <w:rPr>
                <w:rFonts w:hint="eastAsia" w:eastAsia="宋体"/>
                <w:lang w:val="en-US" w:eastAsia="zh-CN"/>
              </w:rPr>
            </w:pPr>
            <w:r>
              <w:rPr>
                <w:rFonts w:hint="eastAsia"/>
                <w:lang w:val="en-US" w:eastAsia="zh-CN"/>
              </w:rPr>
              <w:t>网络空间安全</w:t>
            </w:r>
          </w:p>
        </w:tc>
        <w:tc>
          <w:tcPr>
            <w:tcW w:w="1113" w:type="dxa"/>
            <w:vMerge w:val="continue"/>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B9B917E">
            <w:pPr>
              <w:widowControl/>
              <w:jc w:val="distribute"/>
              <w:rPr>
                <w:rFonts w:eastAsia="楷体_GB2312"/>
                <w:color w:val="000000"/>
                <w:sz w:val="52"/>
              </w:rPr>
            </w:pPr>
          </w:p>
        </w:tc>
      </w:tr>
      <w:tr w14:paraId="7B22F4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trHeight w:val="630" w:hRule="atLeast"/>
          <w:jc w:val="center"/>
        </w:trPr>
        <w:tc>
          <w:tcPr>
            <w:tcW w:w="906" w:type="dxa"/>
            <w:vMerge w:val="continue"/>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9A46AC">
            <w:pPr>
              <w:widowControl/>
              <w:jc w:val="left"/>
              <w:rPr>
                <w:rFonts w:eastAsia="楷体_GB2312"/>
                <w:color w:val="000000"/>
                <w:sz w:val="52"/>
              </w:rPr>
            </w:pPr>
          </w:p>
        </w:tc>
        <w:tc>
          <w:tcPr>
            <w:tcW w:w="335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0FB60BB">
            <w:pPr>
              <w:pStyle w:val="14"/>
              <w:ind w:firstLine="0" w:firstLineChars="0"/>
            </w:pPr>
            <w:r>
              <w:rPr>
                <w:rFonts w:hint="eastAsia"/>
              </w:rPr>
              <w:t xml:space="preserve">研   究   方  </w:t>
            </w:r>
            <w:r>
              <w:t xml:space="preserve"> </w:t>
            </w:r>
            <w:r>
              <w:rPr>
                <w:rFonts w:hint="eastAsia"/>
              </w:rPr>
              <w:t xml:space="preserve"> 向：</w:t>
            </w:r>
          </w:p>
        </w:tc>
        <w:tc>
          <w:tcPr>
            <w:tcW w:w="28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32B0AEA">
            <w:pPr>
              <w:pStyle w:val="14"/>
              <w:ind w:firstLine="1960"/>
            </w:pPr>
            <w:r>
              <w:rPr>
                <w:rFonts w:hint="eastAsia"/>
              </w:rPr>
              <w:t>：</w:t>
            </w:r>
          </w:p>
        </w:tc>
        <w:tc>
          <w:tcPr>
            <w:tcW w:w="348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5CE8C9">
            <w:pPr>
              <w:pStyle w:val="14"/>
              <w:ind w:firstLine="0" w:firstLineChars="0"/>
              <w:rPr>
                <w:rFonts w:hint="default" w:eastAsia="宋体"/>
                <w:lang w:val="en-US" w:eastAsia="zh-CN"/>
              </w:rPr>
            </w:pPr>
            <w:r>
              <w:rPr>
                <w:rFonts w:hint="default" w:eastAsia="宋体"/>
                <w:lang w:val="en-US" w:eastAsia="zh-CN"/>
              </w:rPr>
              <w:t>生物特征密钥技术，密码学安全，多模态识别</w:t>
            </w:r>
          </w:p>
        </w:tc>
        <w:tc>
          <w:tcPr>
            <w:tcW w:w="1113" w:type="dxa"/>
            <w:vMerge w:val="continue"/>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A0B2D12">
            <w:pPr>
              <w:widowControl/>
              <w:jc w:val="distribute"/>
              <w:rPr>
                <w:rFonts w:eastAsia="楷体_GB2312"/>
                <w:color w:val="000000"/>
                <w:sz w:val="52"/>
              </w:rPr>
            </w:pPr>
          </w:p>
        </w:tc>
      </w:tr>
      <w:tr w14:paraId="2F646C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top"/>
          </w:tcPr>
          <w:p w14:paraId="34A908F0">
            <w:pPr>
              <w:pStyle w:val="11"/>
              <w:jc w:val="both"/>
            </w:pPr>
          </w:p>
          <w:p w14:paraId="30789C25">
            <w:pPr>
              <w:pStyle w:val="11"/>
            </w:pPr>
            <w:r>
              <w:rPr>
                <w:rFonts w:hint="eastAsia"/>
              </w:rPr>
              <w:t>二〇</w:t>
            </w:r>
            <w:r>
              <w:rPr>
                <w:rFonts w:hint="eastAsia"/>
                <w:lang w:val="en-US" w:eastAsia="zh-CN"/>
              </w:rPr>
              <w:t>二六</w:t>
            </w:r>
            <w:r>
              <w:rPr>
                <w:rFonts w:hint="eastAsia"/>
              </w:rPr>
              <w:t>年</w:t>
            </w:r>
            <w:r>
              <w:rPr>
                <w:rFonts w:hint="eastAsia"/>
                <w:lang w:val="en-US" w:eastAsia="zh-CN"/>
              </w:rPr>
              <w:t>五</w:t>
            </w:r>
            <w:r>
              <w:rPr>
                <w:rFonts w:hint="eastAsia"/>
              </w:rPr>
              <w:t>月</w:t>
            </w:r>
          </w:p>
        </w:tc>
      </w:tr>
    </w:tbl>
    <w:p w14:paraId="383975FA"/>
    <w:p w14:paraId="15BDBD17">
      <w:pPr>
        <w:spacing w:line="580" w:lineRule="exact"/>
        <w:jc w:val="center"/>
        <w:rPr>
          <w:rFonts w:ascii="Times New Roman" w:hAnsi="Times New Roman" w:eastAsia="方正小标宋简体" w:cs="Times New Roman"/>
          <w:sz w:val="44"/>
          <w:szCs w:val="44"/>
          <w:highlight w:val="none"/>
        </w:rPr>
        <w:sectPr>
          <w:footerReference r:id="rId5" w:type="default"/>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Arial"/>
          <w:kern w:val="2"/>
          <w:sz w:val="21"/>
          <w:szCs w:val="22"/>
          <w:lang w:val="en-US" w:eastAsia="zh-CN" w:bidi="ar-SA"/>
        </w:rPr>
        <w:id w:val="147466164"/>
        <w15:color w:val="DBDBDB"/>
        <w:docPartObj>
          <w:docPartGallery w:val="Table of Contents"/>
          <w:docPartUnique/>
        </w:docPartObj>
      </w:sdtPr>
      <w:sdtEndPr>
        <w:rPr>
          <w:rFonts w:ascii="Times New Roman" w:hAnsi="Times New Roman" w:eastAsia="方正小标宋简体" w:cs="Times New Roman"/>
          <w:kern w:val="2"/>
          <w:sz w:val="21"/>
          <w:szCs w:val="44"/>
          <w:highlight w:val="none"/>
          <w:lang w:val="en-US" w:eastAsia="zh-CN" w:bidi="ar-SA"/>
        </w:rPr>
      </w:sdtEndPr>
      <w:sdtContent>
        <w:p w14:paraId="6DDC837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CFFD3C6">
          <w:pPr>
            <w:pStyle w:val="6"/>
            <w:tabs>
              <w:tab w:val="right" w:leader="dot" w:pos="8306"/>
            </w:tabs>
          </w:pPr>
          <w:r>
            <w:rPr>
              <w:rFonts w:ascii="Times New Roman" w:hAnsi="Times New Roman" w:eastAsia="方正小标宋简体" w:cs="Times New Roman"/>
              <w:sz w:val="44"/>
              <w:szCs w:val="44"/>
              <w:highlight w:val="none"/>
            </w:rPr>
            <w:fldChar w:fldCharType="begin"/>
          </w:r>
          <w:r>
            <w:rPr>
              <w:rFonts w:ascii="Times New Roman" w:hAnsi="Times New Roman" w:eastAsia="方正小标宋简体" w:cs="Times New Roman"/>
              <w:sz w:val="44"/>
              <w:szCs w:val="44"/>
              <w:highlight w:val="none"/>
            </w:rPr>
            <w:instrText xml:space="preserve">TOC \o "1-3" \h \u </w:instrText>
          </w:r>
          <w:r>
            <w:rPr>
              <w:rFonts w:ascii="Times New Roman" w:hAnsi="Times New Roman" w:eastAsia="方正小标宋简体" w:cs="Times New Roman"/>
              <w:sz w:val="44"/>
              <w:szCs w:val="44"/>
              <w:highlight w:val="none"/>
            </w:rPr>
            <w:fldChar w:fldCharType="separate"/>
          </w: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_Toc2699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一、项目简介</w:t>
          </w:r>
          <w:r>
            <w:tab/>
          </w:r>
          <w:r>
            <w:fldChar w:fldCharType="begin"/>
          </w:r>
          <w:r>
            <w:instrText xml:space="preserve"> PAGEREF _Toc2699 \h </w:instrText>
          </w:r>
          <w:r>
            <w:fldChar w:fldCharType="separate"/>
          </w:r>
          <w:r>
            <w:t>3</w:t>
          </w:r>
          <w:r>
            <w:fldChar w:fldCharType="end"/>
          </w:r>
          <w:r>
            <w:rPr>
              <w:rFonts w:ascii="Times New Roman" w:hAnsi="Times New Roman" w:eastAsia="方正小标宋简体" w:cs="Times New Roman"/>
              <w:szCs w:val="44"/>
              <w:highlight w:val="none"/>
            </w:rPr>
            <w:fldChar w:fldCharType="end"/>
          </w:r>
        </w:p>
        <w:p w14:paraId="11D5E014">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_Toc12628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1.1 行业痛点</w:t>
          </w:r>
          <w:r>
            <w:tab/>
          </w:r>
          <w:r>
            <w:fldChar w:fldCharType="begin"/>
          </w:r>
          <w:r>
            <w:instrText xml:space="preserve"> PAGEREF _Toc12628 \h </w:instrText>
          </w:r>
          <w:r>
            <w:fldChar w:fldCharType="separate"/>
          </w:r>
          <w:r>
            <w:t>3</w:t>
          </w:r>
          <w:r>
            <w:fldChar w:fldCharType="end"/>
          </w:r>
          <w:r>
            <w:rPr>
              <w:rFonts w:ascii="Times New Roman" w:hAnsi="Times New Roman" w:eastAsia="方正小标宋简体" w:cs="Times New Roman"/>
              <w:szCs w:val="44"/>
              <w:highlight w:val="none"/>
            </w:rPr>
            <w:fldChar w:fldCharType="end"/>
          </w:r>
        </w:p>
        <w:p w14:paraId="4922DD08">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_Toc17215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1.2 解决方案</w:t>
          </w:r>
          <w:r>
            <w:tab/>
          </w:r>
          <w:r>
            <w:fldChar w:fldCharType="begin"/>
          </w:r>
          <w:r>
            <w:instrText xml:space="preserve"> PAGEREF _Toc17215 \h </w:instrText>
          </w:r>
          <w:r>
            <w:fldChar w:fldCharType="separate"/>
          </w:r>
          <w:r>
            <w:t>4</w:t>
          </w:r>
          <w:r>
            <w:fldChar w:fldCharType="end"/>
          </w:r>
          <w:r>
            <w:rPr>
              <w:rFonts w:ascii="Times New Roman" w:hAnsi="Times New Roman" w:eastAsia="方正小标宋简体" w:cs="Times New Roman"/>
              <w:szCs w:val="44"/>
              <w:highlight w:val="none"/>
            </w:rPr>
            <w:fldChar w:fldCharType="end"/>
          </w:r>
        </w:p>
        <w:p w14:paraId="1A92E37A">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_Toc30872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1.3 预期成果</w:t>
          </w:r>
          <w:r>
            <w:tab/>
          </w:r>
          <w:r>
            <w:fldChar w:fldCharType="begin"/>
          </w:r>
          <w:r>
            <w:instrText xml:space="preserve"> PAGEREF _Toc30872 \h </w:instrText>
          </w:r>
          <w:r>
            <w:fldChar w:fldCharType="separate"/>
          </w:r>
          <w:r>
            <w:t>5</w:t>
          </w:r>
          <w:r>
            <w:fldChar w:fldCharType="end"/>
          </w:r>
          <w:r>
            <w:rPr>
              <w:rFonts w:ascii="Times New Roman" w:hAnsi="Times New Roman" w:eastAsia="方正小标宋简体" w:cs="Times New Roman"/>
              <w:szCs w:val="44"/>
              <w:highlight w:val="none"/>
            </w:rPr>
            <w:fldChar w:fldCharType="end"/>
          </w:r>
        </w:p>
        <w:p w14:paraId="175AE8AA">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_Toc23914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二、申请理由</w:t>
          </w:r>
          <w:r>
            <w:tab/>
          </w:r>
          <w:r>
            <w:fldChar w:fldCharType="begin"/>
          </w:r>
          <w:r>
            <w:instrText xml:space="preserve"> PAGEREF _Toc23914 \h </w:instrText>
          </w:r>
          <w:r>
            <w:fldChar w:fldCharType="separate"/>
          </w:r>
          <w:r>
            <w:t>5</w:t>
          </w:r>
          <w:r>
            <w:fldChar w:fldCharType="end"/>
          </w:r>
          <w:r>
            <w:rPr>
              <w:rFonts w:ascii="Times New Roman" w:hAnsi="Times New Roman" w:eastAsia="方正小标宋简体" w:cs="Times New Roman"/>
              <w:szCs w:val="44"/>
              <w:highlight w:val="none"/>
            </w:rPr>
            <w:fldChar w:fldCharType="end"/>
          </w:r>
        </w:p>
        <w:p w14:paraId="16F3F055">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_Toc3535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2.1 团队背景</w:t>
          </w:r>
          <w:r>
            <w:tab/>
          </w:r>
          <w:r>
            <w:fldChar w:fldCharType="begin"/>
          </w:r>
          <w:r>
            <w:instrText xml:space="preserve"> PAGEREF _Toc3535 \h </w:instrText>
          </w:r>
          <w:r>
            <w:fldChar w:fldCharType="separate"/>
          </w:r>
          <w:r>
            <w:t>5</w:t>
          </w:r>
          <w:r>
            <w:fldChar w:fldCharType="end"/>
          </w:r>
          <w:r>
            <w:rPr>
              <w:rFonts w:ascii="Times New Roman" w:hAnsi="Times New Roman" w:eastAsia="方正小标宋简体" w:cs="Times New Roman"/>
              <w:szCs w:val="44"/>
              <w:highlight w:val="none"/>
            </w:rPr>
            <w:fldChar w:fldCharType="end"/>
          </w:r>
        </w:p>
        <w:p w14:paraId="104F65CF">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_Toc22466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2.2 团队协作与分工</w:t>
          </w:r>
          <w:r>
            <w:tab/>
          </w:r>
          <w:r>
            <w:fldChar w:fldCharType="begin"/>
          </w:r>
          <w:r>
            <w:instrText xml:space="preserve"> PAGEREF _Toc22466 \h </w:instrText>
          </w:r>
          <w:r>
            <w:fldChar w:fldCharType="separate"/>
          </w:r>
          <w:r>
            <w:t>7</w:t>
          </w:r>
          <w:r>
            <w:fldChar w:fldCharType="end"/>
          </w:r>
          <w:r>
            <w:rPr>
              <w:rFonts w:ascii="Times New Roman" w:hAnsi="Times New Roman" w:eastAsia="方正小标宋简体" w:cs="Times New Roman"/>
              <w:szCs w:val="44"/>
              <w:highlight w:val="none"/>
            </w:rPr>
            <w:fldChar w:fldCharType="end"/>
          </w:r>
        </w:p>
        <w:p w14:paraId="0C6609FB">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_Toc16758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2.3 资源支持</w:t>
          </w:r>
          <w:r>
            <w:tab/>
          </w:r>
          <w:r>
            <w:fldChar w:fldCharType="begin"/>
          </w:r>
          <w:r>
            <w:instrText xml:space="preserve"> PAGEREF _Toc16758 \h </w:instrText>
          </w:r>
          <w:r>
            <w:fldChar w:fldCharType="separate"/>
          </w:r>
          <w:r>
            <w:t>8</w:t>
          </w:r>
          <w:r>
            <w:fldChar w:fldCharType="end"/>
          </w:r>
          <w:r>
            <w:rPr>
              <w:rFonts w:ascii="Times New Roman" w:hAnsi="Times New Roman" w:eastAsia="方正小标宋简体" w:cs="Times New Roman"/>
              <w:szCs w:val="44"/>
              <w:highlight w:val="none"/>
            </w:rPr>
            <w:fldChar w:fldCharType="end"/>
          </w:r>
        </w:p>
        <w:p w14:paraId="5841E18D">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_Toc25319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三、立项依据</w:t>
          </w:r>
          <w:r>
            <w:tab/>
          </w:r>
          <w:r>
            <w:fldChar w:fldCharType="begin"/>
          </w:r>
          <w:r>
            <w:instrText xml:space="preserve"> PAGEREF _Toc25319 \h </w:instrText>
          </w:r>
          <w:r>
            <w:fldChar w:fldCharType="separate"/>
          </w:r>
          <w:r>
            <w:t>9</w:t>
          </w:r>
          <w:r>
            <w:fldChar w:fldCharType="end"/>
          </w:r>
          <w:r>
            <w:rPr>
              <w:rFonts w:ascii="Times New Roman" w:hAnsi="Times New Roman" w:eastAsia="方正小标宋简体" w:cs="Times New Roman"/>
              <w:szCs w:val="44"/>
              <w:highlight w:val="none"/>
            </w:rPr>
            <w:fldChar w:fldCharType="end"/>
          </w:r>
        </w:p>
        <w:p w14:paraId="5BC02FB7">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_Toc860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3.1 国内外研究综述</w:t>
          </w:r>
          <w:r>
            <w:tab/>
          </w:r>
          <w:r>
            <w:fldChar w:fldCharType="begin"/>
          </w:r>
          <w:r>
            <w:instrText xml:space="preserve"> PAGEREF _Toc860 \h </w:instrText>
          </w:r>
          <w:r>
            <w:fldChar w:fldCharType="separate"/>
          </w:r>
          <w:r>
            <w:t>9</w:t>
          </w:r>
          <w:r>
            <w:fldChar w:fldCharType="end"/>
          </w:r>
          <w:r>
            <w:rPr>
              <w:rFonts w:ascii="Times New Roman" w:hAnsi="Times New Roman" w:eastAsia="方正小标宋简体" w:cs="Times New Roman"/>
              <w:szCs w:val="44"/>
              <w:highlight w:val="none"/>
            </w:rPr>
            <w:fldChar w:fldCharType="end"/>
          </w:r>
        </w:p>
        <w:p w14:paraId="57CB66AA">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_Toc29268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（1）纯视觉唇语识别方案</w:t>
          </w:r>
          <w:r>
            <w:tab/>
          </w:r>
          <w:r>
            <w:fldChar w:fldCharType="begin"/>
          </w:r>
          <w:r>
            <w:instrText xml:space="preserve"> PAGEREF _Toc29268 \h </w:instrText>
          </w:r>
          <w:r>
            <w:fldChar w:fldCharType="separate"/>
          </w:r>
          <w:r>
            <w:t>9</w:t>
          </w:r>
          <w:r>
            <w:fldChar w:fldCharType="end"/>
          </w:r>
          <w:r>
            <w:rPr>
              <w:rFonts w:ascii="Times New Roman" w:hAnsi="Times New Roman" w:eastAsia="方正小标宋简体" w:cs="Times New Roman"/>
              <w:szCs w:val="44"/>
              <w:highlight w:val="none"/>
            </w:rPr>
            <w:fldChar w:fldCharType="end"/>
          </w:r>
        </w:p>
        <w:p w14:paraId="04B5BCF0">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_Toc22611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（2）传感方案</w:t>
          </w:r>
          <w:r>
            <w:tab/>
          </w:r>
          <w:r>
            <w:fldChar w:fldCharType="begin"/>
          </w:r>
          <w:r>
            <w:instrText xml:space="preserve"> PAGEREF _Toc22611 \h </w:instrText>
          </w:r>
          <w:r>
            <w:fldChar w:fldCharType="separate"/>
          </w:r>
          <w:r>
            <w:t>9</w:t>
          </w:r>
          <w:r>
            <w:fldChar w:fldCharType="end"/>
          </w:r>
          <w:r>
            <w:rPr>
              <w:rFonts w:ascii="Times New Roman" w:hAnsi="Times New Roman" w:eastAsia="方正小标宋简体" w:cs="Times New Roman"/>
              <w:szCs w:val="44"/>
              <w:highlight w:val="none"/>
            </w:rPr>
            <w:fldChar w:fldCharType="end"/>
          </w:r>
        </w:p>
        <w:p w14:paraId="0D0A8ADE">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_Toc25040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（3）多模态融合趋势</w:t>
          </w:r>
          <w:r>
            <w:tab/>
          </w:r>
          <w:r>
            <w:fldChar w:fldCharType="begin"/>
          </w:r>
          <w:r>
            <w:instrText xml:space="preserve"> PAGEREF _Toc25040 \h </w:instrText>
          </w:r>
          <w:r>
            <w:fldChar w:fldCharType="separate"/>
          </w:r>
          <w:r>
            <w:t>10</w:t>
          </w:r>
          <w:r>
            <w:fldChar w:fldCharType="end"/>
          </w:r>
          <w:r>
            <w:rPr>
              <w:rFonts w:ascii="Times New Roman" w:hAnsi="Times New Roman" w:eastAsia="方正小标宋简体" w:cs="Times New Roman"/>
              <w:szCs w:val="44"/>
              <w:highlight w:val="none"/>
            </w:rPr>
            <w:fldChar w:fldCharType="end"/>
          </w:r>
        </w:p>
        <w:p w14:paraId="512DA3EB">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_Toc22107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（4）唇部生物密钥研究</w:t>
          </w:r>
          <w:r>
            <w:tab/>
          </w:r>
          <w:r>
            <w:fldChar w:fldCharType="begin"/>
          </w:r>
          <w:r>
            <w:instrText xml:space="preserve"> PAGEREF _Toc22107 \h </w:instrText>
          </w:r>
          <w:r>
            <w:fldChar w:fldCharType="separate"/>
          </w:r>
          <w:r>
            <w:t>10</w:t>
          </w:r>
          <w:r>
            <w:fldChar w:fldCharType="end"/>
          </w:r>
          <w:r>
            <w:rPr>
              <w:rFonts w:ascii="Times New Roman" w:hAnsi="Times New Roman" w:eastAsia="方正小标宋简体" w:cs="Times New Roman"/>
              <w:szCs w:val="44"/>
              <w:highlight w:val="none"/>
            </w:rPr>
            <w:fldChar w:fldCharType="end"/>
          </w:r>
        </w:p>
        <w:p w14:paraId="47092BC4">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_Toc15206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（5）生物密钥核心技术进展</w:t>
          </w:r>
          <w:r>
            <w:tab/>
          </w:r>
          <w:r>
            <w:fldChar w:fldCharType="begin"/>
          </w:r>
          <w:r>
            <w:instrText xml:space="preserve"> PAGEREF _Toc15206 \h </w:instrText>
          </w:r>
          <w:r>
            <w:fldChar w:fldCharType="separate"/>
          </w:r>
          <w:r>
            <w:t>10</w:t>
          </w:r>
          <w:r>
            <w:fldChar w:fldCharType="end"/>
          </w:r>
          <w:r>
            <w:rPr>
              <w:rFonts w:ascii="Times New Roman" w:hAnsi="Times New Roman" w:eastAsia="方正小标宋简体" w:cs="Times New Roman"/>
              <w:szCs w:val="44"/>
              <w:highlight w:val="none"/>
            </w:rPr>
            <w:fldChar w:fldCharType="end"/>
          </w:r>
        </w:p>
        <w:p w14:paraId="54B70F97">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_Toc9010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3.2 技术空白分析</w:t>
          </w:r>
          <w:r>
            <w:tab/>
          </w:r>
          <w:r>
            <w:fldChar w:fldCharType="begin"/>
          </w:r>
          <w:r>
            <w:instrText xml:space="preserve"> PAGEREF _Toc9010 \h </w:instrText>
          </w:r>
          <w:r>
            <w:fldChar w:fldCharType="separate"/>
          </w:r>
          <w:r>
            <w:t>10</w:t>
          </w:r>
          <w:r>
            <w:fldChar w:fldCharType="end"/>
          </w:r>
          <w:r>
            <w:rPr>
              <w:rFonts w:ascii="Times New Roman" w:hAnsi="Times New Roman" w:eastAsia="方正小标宋简体" w:cs="Times New Roman"/>
              <w:szCs w:val="44"/>
              <w:highlight w:val="none"/>
            </w:rPr>
            <w:fldChar w:fldCharType="end"/>
          </w:r>
        </w:p>
        <w:p w14:paraId="2AF902F6">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_Toc18995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3.3 项目必要性</w:t>
          </w:r>
          <w:r>
            <w:tab/>
          </w:r>
          <w:r>
            <w:fldChar w:fldCharType="begin"/>
          </w:r>
          <w:r>
            <w:instrText xml:space="preserve"> PAGEREF _Toc18995 \h </w:instrText>
          </w:r>
          <w:r>
            <w:fldChar w:fldCharType="separate"/>
          </w:r>
          <w:r>
            <w:t>11</w:t>
          </w:r>
          <w:r>
            <w:fldChar w:fldCharType="end"/>
          </w:r>
          <w:r>
            <w:rPr>
              <w:rFonts w:ascii="Times New Roman" w:hAnsi="Times New Roman" w:eastAsia="方正小标宋简体" w:cs="Times New Roman"/>
              <w:szCs w:val="44"/>
              <w:highlight w:val="none"/>
            </w:rPr>
            <w:fldChar w:fldCharType="end"/>
          </w:r>
        </w:p>
        <w:p w14:paraId="05A7A527">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_Toc4214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四、项目方案</w:t>
          </w:r>
          <w:r>
            <w:tab/>
          </w:r>
          <w:r>
            <w:fldChar w:fldCharType="begin"/>
          </w:r>
          <w:r>
            <w:instrText xml:space="preserve"> PAGEREF _Toc4214 \h </w:instrText>
          </w:r>
          <w:r>
            <w:fldChar w:fldCharType="separate"/>
          </w:r>
          <w:r>
            <w:t>11</w:t>
          </w:r>
          <w:r>
            <w:fldChar w:fldCharType="end"/>
          </w:r>
          <w:r>
            <w:rPr>
              <w:rFonts w:ascii="Times New Roman" w:hAnsi="Times New Roman" w:eastAsia="方正小标宋简体" w:cs="Times New Roman"/>
              <w:szCs w:val="44"/>
              <w:highlight w:val="none"/>
            </w:rPr>
            <w:fldChar w:fldCharType="end"/>
          </w:r>
        </w:p>
        <w:p w14:paraId="792C8357">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_Toc18567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4.1 总体框架</w:t>
          </w:r>
          <w:r>
            <w:tab/>
          </w:r>
          <w:r>
            <w:fldChar w:fldCharType="begin"/>
          </w:r>
          <w:r>
            <w:instrText xml:space="preserve"> PAGEREF _Toc18567 \h </w:instrText>
          </w:r>
          <w:r>
            <w:fldChar w:fldCharType="separate"/>
          </w:r>
          <w:r>
            <w:t>11</w:t>
          </w:r>
          <w:r>
            <w:fldChar w:fldCharType="end"/>
          </w:r>
          <w:r>
            <w:rPr>
              <w:rFonts w:ascii="Times New Roman" w:hAnsi="Times New Roman" w:eastAsia="方正小标宋简体" w:cs="Times New Roman"/>
              <w:szCs w:val="44"/>
              <w:highlight w:val="none"/>
            </w:rPr>
            <w:fldChar w:fldCharType="end"/>
          </w:r>
        </w:p>
        <w:p w14:paraId="7C142755">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_Toc2488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4.2 关键技术</w:t>
          </w:r>
          <w:r>
            <w:tab/>
          </w:r>
          <w:r>
            <w:fldChar w:fldCharType="begin"/>
          </w:r>
          <w:r>
            <w:instrText xml:space="preserve"> PAGEREF _Toc2488 \h </w:instrText>
          </w:r>
          <w:r>
            <w:fldChar w:fldCharType="separate"/>
          </w:r>
          <w:r>
            <w:t>12</w:t>
          </w:r>
          <w:r>
            <w:fldChar w:fldCharType="end"/>
          </w:r>
          <w:r>
            <w:rPr>
              <w:rFonts w:ascii="Times New Roman" w:hAnsi="Times New Roman" w:eastAsia="方正小标宋简体" w:cs="Times New Roman"/>
              <w:szCs w:val="44"/>
              <w:highlight w:val="none"/>
            </w:rPr>
            <w:fldChar w:fldCharType="end"/>
          </w:r>
        </w:p>
        <w:p w14:paraId="307A37D3">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_Toc11308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（1）唇部ROI实时检测与跟踪</w:t>
          </w:r>
          <w:r>
            <w:tab/>
          </w:r>
          <w:r>
            <w:fldChar w:fldCharType="begin"/>
          </w:r>
          <w:r>
            <w:instrText xml:space="preserve"> PAGEREF _Toc11308 \h </w:instrText>
          </w:r>
          <w:r>
            <w:fldChar w:fldCharType="separate"/>
          </w:r>
          <w:r>
            <w:t>12</w:t>
          </w:r>
          <w:r>
            <w:fldChar w:fldCharType="end"/>
          </w:r>
          <w:r>
            <w:rPr>
              <w:rFonts w:ascii="Times New Roman" w:hAnsi="Times New Roman" w:eastAsia="方正小标宋简体" w:cs="Times New Roman"/>
              <w:szCs w:val="44"/>
              <w:highlight w:val="none"/>
            </w:rPr>
            <w:fldChar w:fldCharType="end"/>
          </w:r>
        </w:p>
        <w:p w14:paraId="4CE88747">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_Toc27690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（2）多尺度运动传感信号特征提取</w:t>
          </w:r>
          <w:r>
            <w:tab/>
          </w:r>
          <w:r>
            <w:fldChar w:fldCharType="begin"/>
          </w:r>
          <w:r>
            <w:instrText xml:space="preserve"> PAGEREF _Toc27690 \h </w:instrText>
          </w:r>
          <w:r>
            <w:fldChar w:fldCharType="separate"/>
          </w:r>
          <w:r>
            <w:t>12</w:t>
          </w:r>
          <w:r>
            <w:fldChar w:fldCharType="end"/>
          </w:r>
          <w:r>
            <w:rPr>
              <w:rFonts w:ascii="Times New Roman" w:hAnsi="Times New Roman" w:eastAsia="方正小标宋简体" w:cs="Times New Roman"/>
              <w:szCs w:val="44"/>
              <w:highlight w:val="none"/>
            </w:rPr>
            <w:fldChar w:fldCharType="end"/>
          </w:r>
        </w:p>
        <w:p w14:paraId="12CFA6F4">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_Toc27093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（3）跨模态融合识别网络</w:t>
          </w:r>
          <w:r>
            <w:tab/>
          </w:r>
          <w:r>
            <w:fldChar w:fldCharType="begin"/>
          </w:r>
          <w:r>
            <w:instrText xml:space="preserve"> PAGEREF _Toc27093 \h </w:instrText>
          </w:r>
          <w:r>
            <w:fldChar w:fldCharType="separate"/>
          </w:r>
          <w:r>
            <w:t>12</w:t>
          </w:r>
          <w:r>
            <w:fldChar w:fldCharType="end"/>
          </w:r>
          <w:r>
            <w:rPr>
              <w:rFonts w:ascii="Times New Roman" w:hAnsi="Times New Roman" w:eastAsia="方正小标宋简体" w:cs="Times New Roman"/>
              <w:szCs w:val="44"/>
              <w:highlight w:val="none"/>
            </w:rPr>
            <w:fldChar w:fldCharType="end"/>
          </w:r>
        </w:p>
        <w:p w14:paraId="5A0FCC00">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_Toc23766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（4）模糊提取器密钥生成</w:t>
          </w:r>
          <w:r>
            <w:tab/>
          </w:r>
          <w:r>
            <w:fldChar w:fldCharType="begin"/>
          </w:r>
          <w:r>
            <w:instrText xml:space="preserve"> PAGEREF _Toc23766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45B1E23A">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_Toc4347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（5）可撤销模板保护</w:t>
          </w:r>
          <w:r>
            <w:tab/>
          </w:r>
          <w:r>
            <w:fldChar w:fldCharType="begin"/>
          </w:r>
          <w:r>
            <w:instrText xml:space="preserve"> PAGEREF _Toc4347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7EA35C68">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_Toc6530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（6）轻量化设计与端侧部署预留</w:t>
          </w:r>
          <w:r>
            <w:tab/>
          </w:r>
          <w:r>
            <w:fldChar w:fldCharType="begin"/>
          </w:r>
          <w:r>
            <w:instrText xml:space="preserve"> PAGEREF _Toc6530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65B9C8AC">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_Toc27575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五、项目特色与创新点</w:t>
          </w:r>
          <w:r>
            <w:tab/>
          </w:r>
          <w:r>
            <w:fldChar w:fldCharType="begin"/>
          </w:r>
          <w:r>
            <w:instrText xml:space="preserve"> PAGEREF _Toc27575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26156ECF">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_Toc25000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5.1 项目特色</w:t>
          </w:r>
          <w:r>
            <w:tab/>
          </w:r>
          <w:r>
            <w:fldChar w:fldCharType="begin"/>
          </w:r>
          <w:r>
            <w:instrText xml:space="preserve"> PAGEREF _Toc25000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478C171F">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_Toc27225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（1）多模态互补鲁棒性设计</w:t>
          </w:r>
          <w:r>
            <w:tab/>
          </w:r>
          <w:r>
            <w:fldChar w:fldCharType="begin"/>
          </w:r>
          <w:r>
            <w:instrText xml:space="preserve"> PAGEREF _Toc27225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579F2666">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_Toc16422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（2）任务级识别轻量化路线</w:t>
          </w:r>
          <w:r>
            <w:tab/>
          </w:r>
          <w:r>
            <w:fldChar w:fldCharType="begin"/>
          </w:r>
          <w:r>
            <w:instrText xml:space="preserve"> PAGEREF _Toc16422 \h </w:instrText>
          </w:r>
          <w:r>
            <w:fldChar w:fldCharType="separate"/>
          </w:r>
          <w:r>
            <w:t>13</w:t>
          </w:r>
          <w:r>
            <w:fldChar w:fldCharType="end"/>
          </w:r>
          <w:r>
            <w:rPr>
              <w:rFonts w:ascii="Times New Roman" w:hAnsi="Times New Roman" w:eastAsia="方正小标宋简体" w:cs="Times New Roman"/>
              <w:szCs w:val="44"/>
              <w:highlight w:val="none"/>
            </w:rPr>
            <w:fldChar w:fldCharType="end"/>
          </w:r>
        </w:p>
        <w:p w14:paraId="1D9C32C9">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_Toc8398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（3）软硬件协同交付</w:t>
          </w:r>
          <w:r>
            <w:tab/>
          </w:r>
          <w:r>
            <w:fldChar w:fldCharType="begin"/>
          </w:r>
          <w:r>
            <w:instrText xml:space="preserve"> PAGEREF _Toc8398 \h </w:instrText>
          </w:r>
          <w:r>
            <w:fldChar w:fldCharType="separate"/>
          </w:r>
          <w:r>
            <w:t>14</w:t>
          </w:r>
          <w:r>
            <w:fldChar w:fldCharType="end"/>
          </w:r>
          <w:r>
            <w:rPr>
              <w:rFonts w:ascii="Times New Roman" w:hAnsi="Times New Roman" w:eastAsia="方正小标宋简体" w:cs="Times New Roman"/>
              <w:szCs w:val="44"/>
              <w:highlight w:val="none"/>
            </w:rPr>
            <w:fldChar w:fldCharType="end"/>
          </w:r>
        </w:p>
        <w:p w14:paraId="69B99C2F">
          <w:pPr>
            <w:pStyle w:val="3"/>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_Toc925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（4）“识别+密钥”双模块一体化</w:t>
          </w:r>
          <w:r>
            <w:tab/>
          </w:r>
          <w:r>
            <w:fldChar w:fldCharType="begin"/>
          </w:r>
          <w:r>
            <w:instrText xml:space="preserve"> PAGEREF _Toc925 \h </w:instrText>
          </w:r>
          <w:r>
            <w:fldChar w:fldCharType="separate"/>
          </w:r>
          <w:r>
            <w:t>14</w:t>
          </w:r>
          <w:r>
            <w:fldChar w:fldCharType="end"/>
          </w:r>
          <w:r>
            <w:rPr>
              <w:rFonts w:ascii="Times New Roman" w:hAnsi="Times New Roman" w:eastAsia="方正小标宋简体" w:cs="Times New Roman"/>
              <w:szCs w:val="44"/>
              <w:highlight w:val="none"/>
            </w:rPr>
            <w:fldChar w:fldCharType="end"/>
          </w:r>
        </w:p>
        <w:p w14:paraId="64FA2310">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_Toc3085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5.2 创新点</w:t>
          </w:r>
          <w:r>
            <w:tab/>
          </w:r>
          <w:r>
            <w:fldChar w:fldCharType="begin"/>
          </w:r>
          <w:r>
            <w:instrText xml:space="preserve"> PAGEREF _Toc3085 \h </w:instrText>
          </w:r>
          <w:r>
            <w:fldChar w:fldCharType="separate"/>
          </w:r>
          <w:r>
            <w:t>14</w:t>
          </w:r>
          <w:r>
            <w:fldChar w:fldCharType="end"/>
          </w:r>
          <w:r>
            <w:rPr>
              <w:rFonts w:ascii="Times New Roman" w:hAnsi="Times New Roman" w:eastAsia="方正小标宋简体" w:cs="Times New Roman"/>
              <w:szCs w:val="44"/>
              <w:highlight w:val="none"/>
            </w:rPr>
            <w:fldChar w:fldCharType="end"/>
          </w:r>
        </w:p>
        <w:p w14:paraId="4A77E38D">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_Toc25237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六、项目进度安排</w:t>
          </w:r>
          <w:r>
            <w:tab/>
          </w:r>
          <w:r>
            <w:fldChar w:fldCharType="begin"/>
          </w:r>
          <w:r>
            <w:instrText xml:space="preserve"> PAGEREF _Toc25237 \h </w:instrText>
          </w:r>
          <w:r>
            <w:fldChar w:fldCharType="separate"/>
          </w:r>
          <w:r>
            <w:t>14</w:t>
          </w:r>
          <w:r>
            <w:fldChar w:fldCharType="end"/>
          </w:r>
          <w:r>
            <w:rPr>
              <w:rFonts w:ascii="Times New Roman" w:hAnsi="Times New Roman" w:eastAsia="方正小标宋简体" w:cs="Times New Roman"/>
              <w:szCs w:val="44"/>
              <w:highlight w:val="none"/>
            </w:rPr>
            <w:fldChar w:fldCharType="end"/>
          </w:r>
        </w:p>
        <w:p w14:paraId="5BF7F9F1">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_Toc18472 </w:instrText>
          </w:r>
          <w:r>
            <w:rPr>
              <w:rFonts w:ascii="Times New Roman" w:hAnsi="Times New Roman" w:eastAsia="方正小标宋简体" w:cs="Times New Roman"/>
              <w:szCs w:val="44"/>
              <w:highlight w:val="none"/>
            </w:rPr>
            <w:fldChar w:fldCharType="separate"/>
          </w:r>
          <w:r>
            <w:rPr>
              <w:rFonts w:hint="eastAsia" w:ascii="Times New Roman" w:hAnsi="Times New Roman" w:eastAsia="仿宋" w:cs="Times New Roman"/>
              <w:kern w:val="2"/>
              <w:szCs w:val="32"/>
              <w:lang w:val="en-US" w:eastAsia="zh-CN" w:bidi="ar-SA"/>
            </w:rPr>
            <w:t>6.</w:t>
          </w:r>
          <w:r>
            <w:rPr>
              <w:rFonts w:ascii="Times New Roman" w:hAnsi="Times New Roman" w:eastAsia="仿宋" w:cs="Times New Roman"/>
              <w:kern w:val="2"/>
              <w:szCs w:val="32"/>
              <w:lang w:val="en-US" w:eastAsia="zh-CN" w:bidi="ar-SA"/>
            </w:rPr>
            <w:t>1.</w:t>
          </w:r>
          <w:r>
            <w:rPr>
              <w:rFonts w:hint="eastAsia" w:ascii="Times New Roman" w:hAnsi="Times New Roman" w:eastAsia="仿宋" w:cs="Times New Roman"/>
              <w:kern w:val="2"/>
              <w:szCs w:val="32"/>
              <w:lang w:val="en-US" w:eastAsia="zh-CN" w:bidi="ar-SA"/>
            </w:rPr>
            <w:t xml:space="preserve"> </w:t>
          </w:r>
          <w:r>
            <w:rPr>
              <w:rFonts w:ascii="Times New Roman" w:hAnsi="Times New Roman" w:eastAsia="仿宋" w:cs="Times New Roman"/>
              <w:bCs/>
              <w:szCs w:val="32"/>
              <w:highlight w:val="none"/>
            </w:rPr>
            <w:t>第一周期：纯视觉唇语识别系统构建与生物密钥方案论证（第1—8个月）</w:t>
          </w:r>
          <w:r>
            <w:tab/>
          </w:r>
          <w:r>
            <w:fldChar w:fldCharType="begin"/>
          </w:r>
          <w:r>
            <w:instrText xml:space="preserve"> PAGEREF _Toc18472 \h </w:instrText>
          </w:r>
          <w:r>
            <w:fldChar w:fldCharType="separate"/>
          </w:r>
          <w:r>
            <w:t>15</w:t>
          </w:r>
          <w:r>
            <w:fldChar w:fldCharType="end"/>
          </w:r>
          <w:r>
            <w:rPr>
              <w:rFonts w:ascii="Times New Roman" w:hAnsi="Times New Roman" w:eastAsia="方正小标宋简体" w:cs="Times New Roman"/>
              <w:szCs w:val="44"/>
              <w:highlight w:val="none"/>
            </w:rPr>
            <w:fldChar w:fldCharType="end"/>
          </w:r>
        </w:p>
        <w:p w14:paraId="49FE6252">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_Toc29145 </w:instrText>
          </w:r>
          <w:r>
            <w:rPr>
              <w:rFonts w:ascii="Times New Roman" w:hAnsi="Times New Roman" w:eastAsia="方正小标宋简体" w:cs="Times New Roman"/>
              <w:szCs w:val="44"/>
              <w:highlight w:val="none"/>
            </w:rPr>
            <w:fldChar w:fldCharType="separate"/>
          </w:r>
          <w:r>
            <w:rPr>
              <w:rFonts w:hint="eastAsia" w:ascii="Times New Roman" w:hAnsi="Times New Roman" w:eastAsia="仿宋" w:cs="Times New Roman"/>
              <w:bCs w:val="0"/>
              <w:szCs w:val="32"/>
              <w:highlight w:val="none"/>
              <w:lang w:val="en-US" w:eastAsia="zh-CN"/>
            </w:rPr>
            <w:t xml:space="preserve">6.2. </w:t>
          </w:r>
          <w:r>
            <w:rPr>
              <w:rFonts w:ascii="Times New Roman" w:hAnsi="Times New Roman" w:eastAsia="仿宋" w:cs="Times New Roman"/>
              <w:bCs/>
              <w:szCs w:val="32"/>
              <w:highlight w:val="none"/>
            </w:rPr>
            <w:t>第二周期：视-触融合识别与生物密钥核心模块研发（第9—16个月）</w:t>
          </w:r>
          <w:r>
            <w:tab/>
          </w:r>
          <w:r>
            <w:fldChar w:fldCharType="begin"/>
          </w:r>
          <w:r>
            <w:instrText xml:space="preserve"> PAGEREF _Toc29145 \h </w:instrText>
          </w:r>
          <w:r>
            <w:fldChar w:fldCharType="separate"/>
          </w:r>
          <w:r>
            <w:t>16</w:t>
          </w:r>
          <w:r>
            <w:fldChar w:fldCharType="end"/>
          </w:r>
          <w:r>
            <w:rPr>
              <w:rFonts w:ascii="Times New Roman" w:hAnsi="Times New Roman" w:eastAsia="方正小标宋简体" w:cs="Times New Roman"/>
              <w:szCs w:val="44"/>
              <w:highlight w:val="none"/>
            </w:rPr>
            <w:fldChar w:fldCharType="end"/>
          </w:r>
        </w:p>
        <w:p w14:paraId="357B0990">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_Toc25530 </w:instrText>
          </w:r>
          <w:r>
            <w:rPr>
              <w:rFonts w:ascii="Times New Roman" w:hAnsi="Times New Roman" w:eastAsia="方正小标宋简体" w:cs="Times New Roman"/>
              <w:szCs w:val="44"/>
              <w:highlight w:val="none"/>
            </w:rPr>
            <w:fldChar w:fldCharType="separate"/>
          </w:r>
          <w:r>
            <w:rPr>
              <w:rFonts w:hint="eastAsia" w:ascii="Times New Roman" w:hAnsi="Times New Roman" w:eastAsia="仿宋" w:cs="Times New Roman"/>
              <w:bCs w:val="0"/>
              <w:szCs w:val="32"/>
              <w:highlight w:val="none"/>
              <w:lang w:val="en-US" w:eastAsia="zh-CN"/>
            </w:rPr>
            <w:t xml:space="preserve">6.3. </w:t>
          </w:r>
          <w:r>
            <w:rPr>
              <w:rFonts w:ascii="Times New Roman" w:hAnsi="Times New Roman" w:eastAsia="仿宋" w:cs="Times New Roman"/>
              <w:bCs/>
              <w:szCs w:val="32"/>
              <w:highlight w:val="none"/>
            </w:rPr>
            <w:t>第三周期：系统集成、场景适配与成果凝练（第17—24个月）</w:t>
          </w:r>
          <w:r>
            <w:tab/>
          </w:r>
          <w:r>
            <w:fldChar w:fldCharType="begin"/>
          </w:r>
          <w:r>
            <w:instrText xml:space="preserve"> PAGEREF _Toc25530 \h </w:instrText>
          </w:r>
          <w:r>
            <w:fldChar w:fldCharType="separate"/>
          </w:r>
          <w:r>
            <w:t>17</w:t>
          </w:r>
          <w:r>
            <w:fldChar w:fldCharType="end"/>
          </w:r>
          <w:r>
            <w:rPr>
              <w:rFonts w:ascii="Times New Roman" w:hAnsi="Times New Roman" w:eastAsia="方正小标宋简体" w:cs="Times New Roman"/>
              <w:szCs w:val="44"/>
              <w:highlight w:val="none"/>
            </w:rPr>
            <w:fldChar w:fldCharType="end"/>
          </w:r>
        </w:p>
        <w:p w14:paraId="5C8A8FD5">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_Toc1711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七、风险管</w:t>
          </w:r>
          <w:r>
            <w:rPr>
              <w:rFonts w:hint="eastAsia" w:ascii="Times New Roman" w:hAnsi="Times New Roman" w:eastAsia="黑体" w:cs="Times New Roman"/>
              <w:szCs w:val="32"/>
              <w:highlight w:val="none"/>
              <w:lang w:val="en-US" w:eastAsia="zh-CN"/>
            </w:rPr>
            <w:t>控与</w:t>
          </w:r>
          <w:r>
            <w:rPr>
              <w:rFonts w:ascii="Times New Roman" w:hAnsi="Times New Roman" w:eastAsia="黑体" w:cs="Times New Roman"/>
              <w:szCs w:val="32"/>
              <w:highlight w:val="none"/>
            </w:rPr>
            <w:t>技术风险</w:t>
          </w:r>
          <w:r>
            <w:tab/>
          </w:r>
          <w:r>
            <w:fldChar w:fldCharType="begin"/>
          </w:r>
          <w:r>
            <w:instrText xml:space="preserve"> PAGEREF _Toc1711 \h </w:instrText>
          </w:r>
          <w:r>
            <w:fldChar w:fldCharType="separate"/>
          </w:r>
          <w:r>
            <w:t>18</w:t>
          </w:r>
          <w:r>
            <w:fldChar w:fldCharType="end"/>
          </w:r>
          <w:r>
            <w:rPr>
              <w:rFonts w:ascii="Times New Roman" w:hAnsi="Times New Roman" w:eastAsia="方正小标宋简体" w:cs="Times New Roman"/>
              <w:szCs w:val="44"/>
              <w:highlight w:val="none"/>
            </w:rPr>
            <w:fldChar w:fldCharType="end"/>
          </w:r>
        </w:p>
        <w:p w14:paraId="0CC950A4">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_Toc9143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八、项目完成预期成果</w:t>
          </w:r>
          <w:r>
            <w:tab/>
          </w:r>
          <w:r>
            <w:fldChar w:fldCharType="begin"/>
          </w:r>
          <w:r>
            <w:instrText xml:space="preserve"> PAGEREF _Toc9143 \h </w:instrText>
          </w:r>
          <w:r>
            <w:fldChar w:fldCharType="separate"/>
          </w:r>
          <w:r>
            <w:t>19</w:t>
          </w:r>
          <w:r>
            <w:fldChar w:fldCharType="end"/>
          </w:r>
          <w:r>
            <w:rPr>
              <w:rFonts w:ascii="Times New Roman" w:hAnsi="Times New Roman" w:eastAsia="方正小标宋简体" w:cs="Times New Roman"/>
              <w:szCs w:val="44"/>
              <w:highlight w:val="none"/>
            </w:rPr>
            <w:fldChar w:fldCharType="end"/>
          </w:r>
        </w:p>
        <w:p w14:paraId="269678E0">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_Toc11223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8.1 直接成果</w:t>
          </w:r>
          <w:r>
            <w:tab/>
          </w:r>
          <w:r>
            <w:fldChar w:fldCharType="begin"/>
          </w:r>
          <w:r>
            <w:instrText xml:space="preserve"> PAGEREF _Toc11223 \h </w:instrText>
          </w:r>
          <w:r>
            <w:fldChar w:fldCharType="separate"/>
          </w:r>
          <w:r>
            <w:t>19</w:t>
          </w:r>
          <w:r>
            <w:fldChar w:fldCharType="end"/>
          </w:r>
          <w:r>
            <w:rPr>
              <w:rFonts w:ascii="Times New Roman" w:hAnsi="Times New Roman" w:eastAsia="方正小标宋简体" w:cs="Times New Roman"/>
              <w:szCs w:val="44"/>
              <w:highlight w:val="none"/>
            </w:rPr>
            <w:fldChar w:fldCharType="end"/>
          </w:r>
        </w:p>
        <w:p w14:paraId="6CF2D35E">
          <w:pPr>
            <w:pStyle w:val="7"/>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_Toc25339 </w:instrText>
          </w:r>
          <w:r>
            <w:rPr>
              <w:rFonts w:ascii="Times New Roman" w:hAnsi="Times New Roman" w:eastAsia="方正小标宋简体" w:cs="Times New Roman"/>
              <w:szCs w:val="44"/>
              <w:highlight w:val="none"/>
            </w:rPr>
            <w:fldChar w:fldCharType="separate"/>
          </w:r>
          <w:r>
            <w:rPr>
              <w:rFonts w:ascii="Times New Roman" w:hAnsi="Times New Roman" w:eastAsia="仿宋" w:cs="Times New Roman"/>
              <w:szCs w:val="32"/>
              <w:highlight w:val="none"/>
            </w:rPr>
            <w:t>8.2 间接价值与社会/经济效益</w:t>
          </w:r>
          <w:r>
            <w:tab/>
          </w:r>
          <w:r>
            <w:fldChar w:fldCharType="begin"/>
          </w:r>
          <w:r>
            <w:instrText xml:space="preserve"> PAGEREF _Toc25339 \h </w:instrText>
          </w:r>
          <w:r>
            <w:fldChar w:fldCharType="separate"/>
          </w:r>
          <w:r>
            <w:t>20</w:t>
          </w:r>
          <w:r>
            <w:fldChar w:fldCharType="end"/>
          </w:r>
          <w:r>
            <w:rPr>
              <w:rFonts w:ascii="Times New Roman" w:hAnsi="Times New Roman" w:eastAsia="方正小标宋简体" w:cs="Times New Roman"/>
              <w:szCs w:val="44"/>
              <w:highlight w:val="none"/>
            </w:rPr>
            <w:fldChar w:fldCharType="end"/>
          </w:r>
        </w:p>
        <w:p w14:paraId="4D8E2F1B">
          <w:pPr>
            <w:pStyle w:val="6"/>
            <w:tabs>
              <w:tab w:val="right" w:leader="dot" w:pos="8306"/>
            </w:tabs>
          </w:pPr>
          <w:r>
            <w:rPr>
              <w:rFonts w:ascii="Times New Roman" w:hAnsi="Times New Roman" w:eastAsia="方正小标宋简体" w:cs="Times New Roman"/>
              <w:szCs w:val="44"/>
              <w:highlight w:val="none"/>
            </w:rPr>
            <w:fldChar w:fldCharType="begin"/>
          </w:r>
          <w:r>
            <w:rPr>
              <w:rFonts w:ascii="Times New Roman" w:hAnsi="Times New Roman" w:eastAsia="方正小标宋简体" w:cs="Times New Roman"/>
              <w:szCs w:val="44"/>
              <w:highlight w:val="none"/>
            </w:rPr>
            <w:instrText xml:space="preserve"> HYPERLINK \l _Toc18294 </w:instrText>
          </w:r>
          <w:r>
            <w:rPr>
              <w:rFonts w:ascii="Times New Roman" w:hAnsi="Times New Roman" w:eastAsia="方正小标宋简体" w:cs="Times New Roman"/>
              <w:szCs w:val="44"/>
              <w:highlight w:val="none"/>
            </w:rPr>
            <w:fldChar w:fldCharType="separate"/>
          </w:r>
          <w:r>
            <w:rPr>
              <w:rFonts w:ascii="Times New Roman" w:hAnsi="Times New Roman" w:eastAsia="黑体" w:cs="Times New Roman"/>
              <w:szCs w:val="32"/>
              <w:highlight w:val="none"/>
            </w:rPr>
            <w:t>九、参考文献</w:t>
          </w:r>
          <w:r>
            <w:tab/>
          </w:r>
          <w:r>
            <w:fldChar w:fldCharType="begin"/>
          </w:r>
          <w:r>
            <w:instrText xml:space="preserve"> PAGEREF _Toc18294 \h </w:instrText>
          </w:r>
          <w:r>
            <w:fldChar w:fldCharType="separate"/>
          </w:r>
          <w:r>
            <w:t>20</w:t>
          </w:r>
          <w:r>
            <w:fldChar w:fldCharType="end"/>
          </w:r>
          <w:r>
            <w:rPr>
              <w:rFonts w:ascii="Times New Roman" w:hAnsi="Times New Roman" w:eastAsia="方正小标宋简体" w:cs="Times New Roman"/>
              <w:szCs w:val="44"/>
              <w:highlight w:val="none"/>
            </w:rPr>
            <w:fldChar w:fldCharType="end"/>
          </w:r>
        </w:p>
        <w:p w14:paraId="1669C5FE">
          <w:pPr>
            <w:spacing w:line="580" w:lineRule="exact"/>
            <w:jc w:val="both"/>
            <w:rPr>
              <w:rFonts w:ascii="Times New Roman" w:hAnsi="Times New Roman" w:eastAsia="方正小标宋简体" w:cs="Times New Roman"/>
              <w:kern w:val="2"/>
              <w:sz w:val="21"/>
              <w:szCs w:val="44"/>
              <w:highlight w:val="none"/>
              <w:lang w:val="en-US" w:eastAsia="zh-CN" w:bidi="ar-SA"/>
            </w:rPr>
          </w:pPr>
          <w:r>
            <w:rPr>
              <w:rFonts w:ascii="Times New Roman" w:hAnsi="Times New Roman" w:eastAsia="方正小标宋简体" w:cs="Times New Roman"/>
              <w:szCs w:val="44"/>
              <w:highlight w:val="none"/>
            </w:rPr>
            <w:fldChar w:fldCharType="end"/>
          </w:r>
        </w:p>
      </w:sdtContent>
    </w:sdt>
    <w:p w14:paraId="7A764F49">
      <w:pPr>
        <w:spacing w:line="580" w:lineRule="exact"/>
        <w:jc w:val="center"/>
        <w:rPr>
          <w:rFonts w:ascii="Times New Roman" w:hAnsi="Times New Roman" w:eastAsia="方正小标宋简体" w:cs="Times New Roman"/>
          <w:sz w:val="44"/>
          <w:szCs w:val="44"/>
          <w:highlight w:val="none"/>
        </w:rPr>
      </w:pPr>
    </w:p>
    <w:p w14:paraId="6DBC89FD">
      <w:pPr>
        <w:spacing w:line="580" w:lineRule="exact"/>
        <w:jc w:val="center"/>
        <w:outlineLvl w:val="9"/>
        <w:rPr>
          <w:rFonts w:ascii="Times New Roman" w:hAnsi="Times New Roman" w:eastAsia="方正小标宋简体" w:cs="Times New Roman"/>
          <w:sz w:val="44"/>
          <w:szCs w:val="44"/>
          <w:highlight w:val="none"/>
        </w:rPr>
      </w:pPr>
      <w:r>
        <w:rPr>
          <w:rFonts w:ascii="Times New Roman" w:hAnsi="Times New Roman" w:eastAsia="方正小标宋简体" w:cs="Times New Roman"/>
          <w:sz w:val="44"/>
          <w:szCs w:val="44"/>
          <w:highlight w:val="none"/>
        </w:rPr>
        <w:t>基于唇部多模态识别的</w:t>
      </w:r>
    </w:p>
    <w:p w14:paraId="2F81E938">
      <w:pPr>
        <w:spacing w:line="580" w:lineRule="exact"/>
        <w:jc w:val="center"/>
        <w:outlineLvl w:val="9"/>
        <w:rPr>
          <w:rFonts w:ascii="Times New Roman" w:hAnsi="Times New Roman" w:eastAsia="方正小标宋简体" w:cs="Times New Roman"/>
          <w:sz w:val="44"/>
          <w:szCs w:val="44"/>
          <w:highlight w:val="none"/>
        </w:rPr>
      </w:pPr>
      <w:r>
        <w:rPr>
          <w:rFonts w:ascii="Times New Roman" w:hAnsi="Times New Roman" w:eastAsia="方正小标宋简体" w:cs="Times New Roman"/>
          <w:sz w:val="44"/>
          <w:szCs w:val="44"/>
          <w:highlight w:val="none"/>
        </w:rPr>
        <w:t>生物密钥技术及其应用</w:t>
      </w:r>
    </w:p>
    <w:p w14:paraId="23EC14CA">
      <w:pPr>
        <w:spacing w:line="580" w:lineRule="exact"/>
        <w:jc w:val="center"/>
        <w:rPr>
          <w:rFonts w:ascii="Times New Roman" w:hAnsi="Times New Roman" w:eastAsia="方正小标宋简体" w:cs="Times New Roman"/>
          <w:sz w:val="44"/>
          <w:szCs w:val="44"/>
          <w:highlight w:val="none"/>
        </w:rPr>
      </w:pPr>
    </w:p>
    <w:p w14:paraId="D0604D5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0" w:name="_Toc2699"/>
      <w:r>
        <w:rPr>
          <w:rFonts w:ascii="Times New Roman" w:hAnsi="Times New Roman" w:eastAsia="黑体" w:cs="Times New Roman"/>
          <w:sz w:val="32"/>
          <w:szCs w:val="32"/>
          <w:highlight w:val="none"/>
        </w:rPr>
        <w:t>一、项目简介</w:t>
      </w:r>
      <w:bookmarkEnd w:id="0"/>
    </w:p>
    <w:p w14:paraId="3EEEAE6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1" w:name="_Toc12628"/>
      <w:r>
        <w:rPr>
          <w:rFonts w:ascii="Times New Roman" w:hAnsi="Times New Roman" w:eastAsia="仿宋" w:cs="Times New Roman"/>
          <w:sz w:val="32"/>
          <w:szCs w:val="32"/>
          <w:highlight w:val="none"/>
        </w:rPr>
        <w:t>1.1 行业痛点</w:t>
      </w:r>
      <w:bookmarkEnd w:id="1"/>
    </w:p>
    <w:p w14:paraId="ED40AD0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现有视觉唇语识别系统严重受制于光照变化、面部遮挡和说话者个体差异，在非受控环境下的识别鲁棒性长期无法突破实用化门槛。与此同时，信息安全领域面临日益严峻的挑战：声纹易泄露、易被深度伪造，智能家居语音助手安全事件频发。未来身份认证必然走向“生物特征+动态内容”的多模态验证体系。</w:t>
      </w:r>
    </w:p>
    <w:p w14:paraId="BC50F8B7">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团队调研后，聚焦以下核心应用方向：</w:t>
      </w:r>
    </w:p>
    <w:p w14:paraId="63B7625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 信息安全与身份认证领域</w:t>
      </w:r>
    </w:p>
    <w:p w14:paraId="D1AADF8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传统生物特征（指纹、人脸、虹膜）一旦泄露便无法更改，而声纹更易被AI克隆和深度伪造。行业亟需一种兼具动态不可伪造性与可撤销能力的新型生物特征。唇部运动特征因其行为属性——受神经控制模式、肌肉结构和发音习惯的共同影响——极难通过3D面具或深度伪造视频精确复制，且用户可随时更换验证口令，天然满足“生物特征+动态内容”的双因素安全要求。</w:t>
      </w:r>
    </w:p>
    <w:p w14:paraId="21931A0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 失声人群与沟通障碍领域</w:t>
      </w:r>
    </w:p>
    <w:p w14:paraId="E91F71E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中国受语言障碍影响的人群（声带损伤、喉癌术后、先天性失语、渐冻症等）数量庞大，市残联明确提出需要“研发便携的语音翻译设备”。唇部生物特征识别无需发声，背景噪声影响小，可为该群体提供不受环境干扰的非接触式解决方案。</w:t>
      </w:r>
    </w:p>
    <w:p w14:paraId="FD60DCC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 高噪声工业环境</w:t>
      </w:r>
    </w:p>
    <w:p w14:paraId="C5193C5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噪声环境下语音识别准确率仅70%-80%，化工、核电等行业工人陷入“听不清、无法触控”的交互困境。基于唇部多模态识别的无声指令交互，对此类场景有着刚性需求。</w:t>
      </w:r>
    </w:p>
    <w:p w14:paraId="07DE8A6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本项目旨在研发一种基于唇部多模态识别的生物密钥系统，重点面向信息安全与身份认证场景，同时兼顾失声人群辅助沟通和高噪声工业操控等应用方向，提供非接触、难伪造、强隐私、可撤销的交互与认证新路径。</w:t>
      </w:r>
    </w:p>
    <w:p w14:paraId="F2E594F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2" w:name="_Toc17215"/>
      <w:r>
        <w:rPr>
          <w:rFonts w:ascii="Times New Roman" w:hAnsi="Times New Roman" w:eastAsia="仿宋" w:cs="Times New Roman"/>
          <w:sz w:val="32"/>
          <w:szCs w:val="32"/>
          <w:highlight w:val="none"/>
        </w:rPr>
        <w:t>1.2 解决方案</w:t>
      </w:r>
      <w:bookmarkEnd w:id="2"/>
    </w:p>
    <w:p w14:paraId="2649A18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本项目提出一种基于唇部多模态识别的生物密钥系统。</w:t>
      </w:r>
    </w:p>
    <w:p w14:paraId="61D2039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核心思路：</w:t>
      </w:r>
      <w:commentRangeStart w:id="0"/>
      <w:r>
        <w:rPr>
          <w:rFonts w:ascii="Times New Roman" w:hAnsi="Times New Roman" w:eastAsia="仿宋" w:cs="Times New Roman"/>
          <w:sz w:val="32"/>
          <w:szCs w:val="32"/>
          <w:highlight w:val="none"/>
        </w:rPr>
        <w:t>第一阶段同时采集唇部视觉图像（轮廓、纹理、关键点轨迹）与唇部运动传感信号（加速度、柔性压力信号），设计双流多模态融合网络，通过跨模态注意力机制将视觉“形貌”特征与传感“动态”特征进行对齐与融合，实现对预设任务指令集的鲁棒识别；</w:t>
      </w:r>
      <w:commentRangeEnd w:id="0"/>
      <w:commentRangeStart w:id="1"/>
      <w:r>
        <w:commentReference w:id="0"/>
      </w:r>
      <w:r>
        <w:rPr>
          <w:rFonts w:ascii="Times New Roman" w:hAnsi="Times New Roman" w:eastAsia="仿宋" w:cs="Times New Roman"/>
          <w:sz w:val="32"/>
          <w:szCs w:val="32"/>
          <w:highlight w:val="none"/>
        </w:rPr>
        <w:t>第二阶段将融合后的唇部生物特征向量输入模糊提取器或模糊保险箱，生成均匀随机且可精确再生的生物密钥，并采用可撤销模板保护技术保障密钥安全，最终形成“识别→密钥生成→安全认证”的完整技术闭环。</w:t>
      </w:r>
      <w:commentRangeEnd w:id="1"/>
      <w:r>
        <w:commentReference w:id="1"/>
      </w:r>
    </w:p>
    <w:p w14:paraId="FC7A1A1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系统最大限度消除光照和遮挡对视觉支路的干扰，传感支路捕获肌肉运动的内在物理规律，</w:t>
      </w:r>
      <w:commentRangeStart w:id="2"/>
      <w:r>
        <w:rPr>
          <w:rFonts w:ascii="Times New Roman" w:hAnsi="Times New Roman" w:eastAsia="仿宋" w:cs="Times New Roman"/>
          <w:sz w:val="32"/>
          <w:szCs w:val="32"/>
          <w:highlight w:val="none"/>
        </w:rPr>
        <w:t>两条通路互补</w:t>
      </w:r>
      <w:commentRangeEnd w:id="2"/>
      <w:r>
        <w:commentReference w:id="2"/>
      </w:r>
      <w:r>
        <w:rPr>
          <w:rFonts w:ascii="Times New Roman" w:hAnsi="Times New Roman" w:eastAsia="仿宋" w:cs="Times New Roman"/>
          <w:sz w:val="32"/>
          <w:szCs w:val="32"/>
          <w:highlight w:val="none"/>
        </w:rPr>
        <w:t>；生物密钥模块则解决</w:t>
      </w:r>
      <w:commentRangeStart w:id="3"/>
      <w:r>
        <w:rPr>
          <w:rFonts w:ascii="Times New Roman" w:hAnsi="Times New Roman" w:eastAsia="仿宋" w:cs="Times New Roman"/>
          <w:sz w:val="32"/>
          <w:szCs w:val="32"/>
          <w:highlight w:val="none"/>
        </w:rPr>
        <w:t>生物特征“先天含噪、不可撤销”</w:t>
      </w:r>
      <w:commentRangeEnd w:id="3"/>
      <w:r>
        <w:commentReference w:id="3"/>
      </w:r>
      <w:r>
        <w:rPr>
          <w:rFonts w:ascii="Times New Roman" w:hAnsi="Times New Roman" w:eastAsia="仿宋" w:cs="Times New Roman"/>
          <w:sz w:val="32"/>
          <w:szCs w:val="32"/>
          <w:highlight w:val="none"/>
        </w:rPr>
        <w:t>的密码学难题，实现安全、可更换的身份认证。</w:t>
      </w:r>
    </w:p>
    <w:p w14:paraId="A4E3449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3" w:name="_Toc30872"/>
      <w:r>
        <w:rPr>
          <w:rFonts w:ascii="Times New Roman" w:hAnsi="Times New Roman" w:eastAsia="仿宋" w:cs="Times New Roman"/>
          <w:sz w:val="32"/>
          <w:szCs w:val="32"/>
          <w:highlight w:val="none"/>
        </w:rPr>
        <w:t>1.3 预期成果</w:t>
      </w:r>
      <w:bookmarkEnd w:id="3"/>
    </w:p>
    <w:p w14:paraId="77B7AD4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交付一套端到端唇部多模态识别与生物密钥认证系统V1.0（含源码与用户手册）、一套原型多模态信号采集硬件装置。在自建任务指令集（不少于15条，覆盖身份认证、设备控制等场景）上，多模态融合识别准确率≥85%；基于融合特征生成的生物密钥，在容忍类内差异的同时，误识率（FAR）≤0.1%，拒真率（FRR）≤5%，密钥生成速率满足实时认证需求。</w:t>
      </w:r>
    </w:p>
    <w:p w14:paraId="54E489D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E650023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4" w:name="_Toc23914"/>
      <w:r>
        <w:rPr>
          <w:rFonts w:ascii="Times New Roman" w:hAnsi="Times New Roman" w:eastAsia="黑体" w:cs="Times New Roman"/>
          <w:sz w:val="32"/>
          <w:szCs w:val="32"/>
          <w:highlight w:val="none"/>
        </w:rPr>
        <w:t>二、申请理由</w:t>
      </w:r>
      <w:bookmarkEnd w:id="4"/>
    </w:p>
    <w:p w14:paraId="C17D2F6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5" w:name="_Toc3535"/>
      <w:r>
        <w:rPr>
          <w:rFonts w:ascii="Times New Roman" w:hAnsi="Times New Roman" w:eastAsia="仿宋" w:cs="Times New Roman"/>
          <w:sz w:val="32"/>
          <w:szCs w:val="32"/>
          <w:highlight w:val="none"/>
        </w:rPr>
        <w:t>2.1 团队背景</w:t>
      </w:r>
      <w:bookmarkEnd w:id="5"/>
    </w:p>
    <w:p w14:paraId="9469F36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团队成员构成</w:t>
      </w:r>
      <w:r>
        <w:rPr>
          <w:rFonts w:hint="eastAsia" w:ascii="Times New Roman" w:hAnsi="Times New Roman" w:eastAsia="仿宋" w:cs="Times New Roman"/>
          <w:sz w:val="32"/>
          <w:szCs w:val="32"/>
          <w:highlight w:val="none"/>
          <w:lang w:eastAsia="zh-CN"/>
        </w:rPr>
        <w:t>：</w:t>
      </w:r>
    </w:p>
    <w:p w14:paraId="7F09375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团队由4名2025级网络空间安全专业本科生组成，专业背景一致，具有良好的知识互补性与协作默契。虽然成员初始专业相同，但项目推进过程中，将通过针对性自学与岗位轮换，快速覆盖硬件调试、信号处理、算法实现和软件开发等跨领域任务。</w:t>
      </w:r>
    </w:p>
    <w:p w14:paraId="955BC1B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专业基础与编程能力</w:t>
      </w:r>
      <w:r>
        <w:rPr>
          <w:rFonts w:hint="eastAsia" w:ascii="Times New Roman" w:hAnsi="Times New Roman" w:eastAsia="仿宋" w:cs="Times New Roman"/>
          <w:sz w:val="32"/>
          <w:szCs w:val="32"/>
          <w:highlight w:val="none"/>
          <w:lang w:eastAsia="zh-CN"/>
        </w:rPr>
        <w:t>：</w:t>
      </w:r>
    </w:p>
    <w:p w14:paraId="1AF48BE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全体成员已系统学习C语言程序设计和Python语言基础，掌握核心语法，能独立完成结构化编程。部分成员已自学NumPy、Pandas等数据分析库，具备初步的数据处理能力。</w:t>
      </w:r>
    </w:p>
    <w:p w14:paraId="BEFB789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学习与迁移能力</w:t>
      </w:r>
      <w:r>
        <w:rPr>
          <w:rFonts w:hint="eastAsia" w:ascii="Times New Roman" w:hAnsi="Times New Roman" w:eastAsia="仿宋" w:cs="Times New Roman"/>
          <w:sz w:val="32"/>
          <w:szCs w:val="32"/>
          <w:highlight w:val="none"/>
          <w:lang w:eastAsia="zh-CN"/>
        </w:rPr>
        <w:t>：</w:t>
      </w:r>
    </w:p>
    <w:p w14:paraId="5D4A2FC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团队具备较强的快速学习与知识迁移能力。往期课程项目中，能快速查阅官方文档、技术博客及开源代码，并将算法应用于实际问题建模。资料搜集与整合效率高，能从中文、英文技术社区中筛选有效信息。</w:t>
      </w:r>
    </w:p>
    <w:p w14:paraId="81BE8C8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项目经验与落地能力</w:t>
      </w:r>
      <w:r>
        <w:rPr>
          <w:rFonts w:hint="eastAsia" w:ascii="Times New Roman" w:hAnsi="Times New Roman" w:eastAsia="仿宋" w:cs="Times New Roman"/>
          <w:sz w:val="32"/>
          <w:szCs w:val="32"/>
          <w:highlight w:val="none"/>
          <w:lang w:eastAsia="zh-CN"/>
        </w:rPr>
        <w:t>：</w:t>
      </w:r>
    </w:p>
    <w:p w14:paraId="007E4CF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全体成员共同参加了校级“红星杯”创新实践竞赛，完整经历了从选题、需求分析、方案设计、代码实现到现场演示的全流程，积累了项目拆解、进度管理、分工协作与答辩展示的实战经验。</w:t>
      </w:r>
    </w:p>
    <w:p w14:paraId="A191D91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专业特色与项目契合度</w:t>
      </w:r>
      <w:r>
        <w:rPr>
          <w:rFonts w:hint="eastAsia" w:ascii="Times New Roman" w:hAnsi="Times New Roman" w:eastAsia="仿宋" w:cs="Times New Roman"/>
          <w:sz w:val="32"/>
          <w:szCs w:val="32"/>
          <w:highlight w:val="none"/>
          <w:lang w:eastAsia="zh-CN"/>
        </w:rPr>
        <w:t>：</w:t>
      </w:r>
    </w:p>
    <w:p w14:paraId="A2D894F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作为网络空间安全专业学生，团队成员对数据隐私与生物特征安全具有天然的敏感性。项目设计将贯彻“隐私优先”原则：所有生物特征数据均在本地完成采集与处理，不上传云端；模型推理仅输出认证结果，不存储原始生物特征；生物密钥生成采用可撤销模板保护机制，密钥泄露后可即刻重置。团队对深度伪造、重放攻击等安全威胁有基本认知，将在活体检测模块重点防御，确保系统在认证场景下的安全合规。</w:t>
      </w:r>
    </w:p>
    <w:p w14:paraId="62AAB0E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沟通协作与分工意识</w:t>
      </w:r>
      <w:r>
        <w:rPr>
          <w:rFonts w:hint="eastAsia" w:ascii="Times New Roman" w:hAnsi="Times New Roman" w:eastAsia="仿宋" w:cs="Times New Roman"/>
          <w:sz w:val="32"/>
          <w:szCs w:val="32"/>
          <w:highlight w:val="none"/>
          <w:lang w:eastAsia="zh-CN"/>
        </w:rPr>
        <w:t>：</w:t>
      </w:r>
    </w:p>
    <w:p w14:paraId="7FBC2D2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团队已建立定期例会、共享文档、代码仓库等协作机制，成员根据技术兴趣（硬件、图像、数据分析、密码学等）主动承担角色，职责明确且可相互备份，具备较强的责任意识和执行力。</w:t>
      </w:r>
    </w:p>
    <w:p w14:paraId="40D0B798">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申报信心</w:t>
      </w:r>
      <w:r>
        <w:rPr>
          <w:rFonts w:hint="eastAsia" w:ascii="Times New Roman" w:hAnsi="Times New Roman" w:eastAsia="仿宋" w:cs="Times New Roman"/>
          <w:sz w:val="32"/>
          <w:szCs w:val="32"/>
          <w:highlight w:val="none"/>
          <w:lang w:eastAsia="zh-CN"/>
        </w:rPr>
        <w:t>：</w:t>
      </w:r>
    </w:p>
    <w:p w14:paraId="8789E10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基于上述基础，团队有信心在大学生创新创业训练计划支持下，通过系统性自学与实践，完成核心技术攻关与原型系统展示，并争取产出学术论文或可演示的软硬件成果。</w:t>
      </w:r>
    </w:p>
    <w:p w14:paraId="179EE4E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6" w:name="_Toc22466"/>
      <w:r>
        <w:rPr>
          <w:rFonts w:ascii="Times New Roman" w:hAnsi="Times New Roman" w:eastAsia="仿宋" w:cs="Times New Roman"/>
          <w:sz w:val="32"/>
          <w:szCs w:val="32"/>
          <w:highlight w:val="none"/>
        </w:rPr>
        <w:t>2.2 团队协作与分工</w:t>
      </w:r>
      <w:bookmarkEnd w:id="6"/>
    </w:p>
    <w:p w14:paraId="11DCDDD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项目负责人（兼算法与密码模块）</w:t>
      </w:r>
      <w:r>
        <w:rPr>
          <w:rFonts w:hint="eastAsia" w:ascii="Times New Roman" w:hAnsi="Times New Roman" w:eastAsia="仿宋" w:cs="Times New Roman"/>
          <w:sz w:val="32"/>
          <w:szCs w:val="32"/>
          <w:highlight w:val="none"/>
          <w:lang w:eastAsia="zh-CN"/>
        </w:rPr>
        <w:t>：</w:t>
      </w:r>
    </w:p>
    <w:p w14:paraId="8FD6E26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项目管理：制定项目计划（甘特图），组织周会，对接指导老师，把控里程碑。核心算法：设计多模态融合网络结构（特征层融合+Cross-Attention），完成模型训练与调优。生物密钥：设计模糊提取器（Gen/Rep）算法，实现从融合特征到生物密钥的生成与再生。成果输出：撰写项目报告核心章节，制作答辩PPT，统筹专利申请/论文发表。</w:t>
      </w:r>
    </w:p>
    <w:p w14:paraId="AC220A5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硬件与信号采集工程师</w:t>
      </w:r>
      <w:r>
        <w:rPr>
          <w:rFonts w:hint="eastAsia" w:ascii="Times New Roman" w:hAnsi="Times New Roman" w:eastAsia="仿宋" w:cs="Times New Roman"/>
          <w:sz w:val="32"/>
          <w:szCs w:val="32"/>
          <w:highlight w:val="none"/>
          <w:lang w:eastAsia="zh-CN"/>
        </w:rPr>
        <w:t>：</w:t>
      </w:r>
    </w:p>
    <w:p w14:paraId="256C190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传感器选型与采购：对比柔性压阻/加速度计模块，采购适配组件。采集电路搭建：基于Arduino/ESP32搭建信号读取电路，实现与摄像头同步串口输出。数据采集与预处理：设计采集协议，组织志愿者（5-10人）录制同步“视频+传感”数据，对信号进行滤波、归一化等预处理。硬件文档：记录硬件连接图、参数配置与常见问题。</w:t>
      </w:r>
    </w:p>
    <w:p w14:paraId="ACA77C1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算法工程师</w:t>
      </w:r>
      <w:r>
        <w:rPr>
          <w:rFonts w:hint="eastAsia" w:ascii="Times New Roman" w:hAnsi="Times New Roman" w:eastAsia="仿宋" w:cs="Times New Roman"/>
          <w:sz w:val="32"/>
          <w:szCs w:val="32"/>
          <w:highlight w:val="none"/>
          <w:lang w:eastAsia="zh-CN"/>
        </w:rPr>
        <w:t>：</w:t>
      </w:r>
    </w:p>
    <w:p w14:paraId="838DAD7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视觉特征提取：使用MediaPipe/Dlib从视频中提取唇部关键点坐标序列。基础模型搭建：构建单模态基线模型，验证数据有效性，并为融合模型提供对比基准。数据增强：对视频帧进行旋转、缩放等增强，扩充有效样本。算法文档：记录特征提取逻辑、模型结构及训练日志。</w:t>
      </w:r>
    </w:p>
    <w:p w14:paraId="999D04C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 系统与前端工程师</w:t>
      </w:r>
      <w:r>
        <w:rPr>
          <w:rFonts w:hint="eastAsia" w:ascii="Times New Roman" w:hAnsi="Times New Roman" w:eastAsia="仿宋" w:cs="Times New Roman"/>
          <w:sz w:val="32"/>
          <w:szCs w:val="32"/>
          <w:highlight w:val="none"/>
          <w:lang w:eastAsia="zh-CN"/>
        </w:rPr>
        <w:t>：</w:t>
      </w:r>
    </w:p>
    <w:p w14:paraId="4BC3751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GUI界面开发：使用PyQt5/Tkinter开发演示软件，包含“开始采集”“实时识别”“密钥生成”“认证结果”等功能模块。软硬件联调：编写多线程程序，同步读取摄像头视频流和串口传感器数据，对齐时间戳。系统打包与部署：将系统打包为可执行文件，便于演示与后续移植。文档与辅助：协助撰写系统架构部分，整理参考文献，准备答辩素材。</w:t>
      </w:r>
    </w:p>
    <w:p w14:paraId="0159CD6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7" w:name="_Toc16758"/>
      <w:r>
        <w:rPr>
          <w:rFonts w:ascii="Times New Roman" w:hAnsi="Times New Roman" w:eastAsia="仿宋" w:cs="Times New Roman"/>
          <w:sz w:val="32"/>
          <w:szCs w:val="32"/>
          <w:highlight w:val="none"/>
        </w:rPr>
        <w:t>2.3 资源支持</w:t>
      </w:r>
      <w:bookmarkEnd w:id="7"/>
    </w:p>
    <w:p w14:paraId="F6F327E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学术指导</w:t>
      </w:r>
      <w:r>
        <w:rPr>
          <w:rFonts w:hint="eastAsia" w:ascii="Times New Roman" w:hAnsi="Times New Roman" w:eastAsia="仿宋" w:cs="Times New Roman"/>
          <w:sz w:val="32"/>
          <w:szCs w:val="32"/>
          <w:highlight w:val="none"/>
          <w:lang w:eastAsia="zh-CN"/>
        </w:rPr>
        <w:t>：</w:t>
      </w:r>
    </w:p>
    <w:p w14:paraId="7E2E2FB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本项目邀请赵绪营老师担任指导老师。赵老师研究方向涵盖模式识别、生物计算、生物特征识别与加密，将在项目整体架构设计、算法选型及论文撰写等方面提供全程指导。指导老师已提供北京邮电大学相关方向硕士论文一篇，对柔性传感器信号处理与唇部运动特征提取进行了系统梳理，为本项目提供了直接的技术参考路径。</w:t>
      </w:r>
    </w:p>
    <w:p w14:paraId="CFA6116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经费保障</w:t>
      </w:r>
      <w:r>
        <w:rPr>
          <w:rFonts w:hint="eastAsia" w:ascii="Times New Roman" w:hAnsi="Times New Roman" w:eastAsia="仿宋" w:cs="Times New Roman"/>
          <w:sz w:val="32"/>
          <w:szCs w:val="32"/>
          <w:highlight w:val="none"/>
          <w:lang w:eastAsia="zh-CN"/>
        </w:rPr>
        <w:t>：</w:t>
      </w:r>
    </w:p>
    <w:p w14:paraId="F04E597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项目拟申请大学生创新创业训练计划经费支持，学院对本科生科研创新项目有配套资助政策。</w:t>
      </w:r>
    </w:p>
    <w:p w14:paraId="B794783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软件与开源资源</w:t>
      </w:r>
      <w:r>
        <w:rPr>
          <w:rFonts w:hint="eastAsia" w:ascii="Times New Roman" w:hAnsi="Times New Roman" w:eastAsia="仿宋" w:cs="Times New Roman"/>
          <w:sz w:val="32"/>
          <w:szCs w:val="32"/>
          <w:highlight w:val="none"/>
          <w:lang w:eastAsia="zh-CN"/>
        </w:rPr>
        <w:t>：</w:t>
      </w:r>
    </w:p>
    <w:p w14:paraId="D0697FA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全部采用开源或免费软件：Python 3.8+、PyTorch、OpenCV、MediaPipe、Arduino IDE、PyQt5等，无版权障碍。开源代码参考：GitHub上唇语识别（LipNet等）及肌电手势识别（sEMG gesture）的开源实现，团队将在此基础上进行二次开发与多模态融合改进。公开数据集：可辅助使用OuluVS2、GRID等公开视觉唇语数据集进行预训练，并已申请下载Chinese-LiPS中文多模态语音数据集，作为自建数据集的补充。</w:t>
      </w:r>
    </w:p>
    <w:p w14:paraId="6D0E611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知识储备</w:t>
      </w:r>
      <w:r>
        <w:rPr>
          <w:rFonts w:hint="eastAsia" w:ascii="Times New Roman" w:hAnsi="Times New Roman" w:eastAsia="仿宋" w:cs="Times New Roman"/>
          <w:sz w:val="32"/>
          <w:szCs w:val="32"/>
          <w:highlight w:val="none"/>
          <w:lang w:eastAsia="zh-CN"/>
        </w:rPr>
        <w:t>：</w:t>
      </w:r>
    </w:p>
    <w:p w14:paraId="704E6D8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学校图书馆及电子资源库（知网、IEEE Xplore、ACM Digital Library）可全文下载相关领域论文，指导老师亦可协助获取稀缺文献。团队已具备文献检索与快速阅读能力，能够持续跟踪前沿进展。</w:t>
      </w:r>
    </w:p>
    <w:p w14:paraId="02240C5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CE87189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8" w:name="_Toc25319"/>
      <w:r>
        <w:rPr>
          <w:rFonts w:ascii="Times New Roman" w:hAnsi="Times New Roman" w:eastAsia="黑体" w:cs="Times New Roman"/>
          <w:sz w:val="32"/>
          <w:szCs w:val="32"/>
          <w:highlight w:val="none"/>
        </w:rPr>
        <w:t>三、立项依据</w:t>
      </w:r>
      <w:bookmarkEnd w:id="8"/>
    </w:p>
    <w:p w14:paraId="28AA7DE8">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9" w:name="_Toc860"/>
      <w:r>
        <w:rPr>
          <w:rFonts w:ascii="Times New Roman" w:hAnsi="Times New Roman" w:eastAsia="仿宋" w:cs="Times New Roman"/>
          <w:sz w:val="32"/>
          <w:szCs w:val="32"/>
          <w:highlight w:val="none"/>
        </w:rPr>
        <w:t>3.1 国内外研究综述</w:t>
      </w:r>
      <w:bookmarkEnd w:id="9"/>
    </w:p>
    <w:p w14:paraId="F4D79EC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10" w:name="_Toc29268"/>
      <w:r>
        <w:rPr>
          <w:rFonts w:ascii="Times New Roman" w:hAnsi="Times New Roman" w:eastAsia="仿宋" w:cs="Times New Roman"/>
          <w:sz w:val="32"/>
          <w:szCs w:val="32"/>
          <w:highlight w:val="none"/>
        </w:rPr>
        <w:t>（1）纯视觉唇语识别方案</w:t>
      </w:r>
      <w:bookmarkEnd w:id="10"/>
    </w:p>
    <w:p w14:paraId="AE4A44E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2017年牛津大学LipNet首次端到端句子级唇语识别，但在非正面光照下性能骤降。北京大学视听融合方案（OuluVS数据集，87.55%）集成唇部外观与形状差分特征，可控环境下效果良好，但对遮挡鲁棒性差。华北电力大学2025年多特征融合模型（LRW数据集，89.3%）融合像素、轮廓与词边界特征，仍属纯视觉范畴。</w:t>
      </w:r>
    </w:p>
    <w:p w14:paraId="8CA4810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11" w:name="_Toc22611"/>
      <w:r>
        <w:rPr>
          <w:rFonts w:ascii="Times New Roman" w:hAnsi="Times New Roman" w:eastAsia="仿宋" w:cs="Times New Roman"/>
          <w:sz w:val="32"/>
          <w:szCs w:val="32"/>
          <w:highlight w:val="none"/>
        </w:rPr>
        <w:t>（2）传感方案</w:t>
      </w:r>
      <w:bookmarkEnd w:id="11"/>
    </w:p>
    <w:p w14:paraId="E5E71F7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清华大学2022年在《自然·通讯》发表基于柔性摩擦电传感器的唇语解读系统，20分类准确率94.5%，不受光照影响，但需粘贴传感器，便携性受限。南京大学国家级大创项目探索基于超声波信号的唇语识别，非接触但词汇量与分辨率待提升。</w:t>
      </w:r>
    </w:p>
    <w:p w14:paraId="E1BB16E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12" w:name="_Toc25040"/>
      <w:r>
        <w:rPr>
          <w:rFonts w:ascii="Times New Roman" w:hAnsi="Times New Roman" w:eastAsia="仿宋" w:cs="Times New Roman"/>
          <w:sz w:val="32"/>
          <w:szCs w:val="32"/>
          <w:highlight w:val="none"/>
        </w:rPr>
        <w:t>（3）多模态融合趋势</w:t>
      </w:r>
      <w:bookmarkEnd w:id="12"/>
    </w:p>
    <w:p w14:paraId="F84714B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MDPI 2025年采用交叉注意力融合视觉与几何特征（LRW数据集，89.41%）；EURASIP 2025发表舌-唇运动级联融合，平均词错误率23.34%。这些融合工作多集中于视觉-几何或视觉-舌部运动，视觉外观与物理运动传感信号的深度融合研究仍为明确空白。</w:t>
      </w:r>
    </w:p>
    <w:p w14:paraId="3DA68B8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13" w:name="_Toc22107"/>
      <w:r>
        <w:rPr>
          <w:rFonts w:ascii="Times New Roman" w:hAnsi="Times New Roman" w:eastAsia="仿宋" w:cs="Times New Roman"/>
          <w:sz w:val="32"/>
          <w:szCs w:val="32"/>
          <w:highlight w:val="none"/>
        </w:rPr>
        <w:t>（4）唇部生物密钥研究</w:t>
      </w:r>
      <w:bookmarkEnd w:id="13"/>
    </w:p>
    <w:p w14:paraId="02E151A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香港浸会大学张晓明教授团队研发全球首套“唇语密码”（Lip-password）生物认证系统，2015年获美国发明专利（US 9,159,321），核心创新为双安全机制（同时验证密码内容与唇动行为特征）、可重置密码。韩国TERAMIME公司开发的LIPS-Security方案同时分析人脸识别与唇部动作，3秒内完成验证。2026年4月发表于Displays期刊的最新研究采用“浅层3D CNN+深层2D CNN”混合架构，设计基于唇读的动态密码认证方法。</w:t>
      </w:r>
    </w:p>
    <w:p w14:paraId="6DF9C17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14" w:name="_Toc15206"/>
      <w:r>
        <w:rPr>
          <w:rFonts w:ascii="Times New Roman" w:hAnsi="Times New Roman" w:eastAsia="仿宋" w:cs="Times New Roman"/>
          <w:sz w:val="32"/>
          <w:szCs w:val="32"/>
          <w:highlight w:val="none"/>
        </w:rPr>
        <w:t>（5）生物密钥核心技术进展</w:t>
      </w:r>
      <w:bookmarkEnd w:id="14"/>
    </w:p>
    <w:p w14:paraId="E0A1CDD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模糊提取器（Dodis等，Eurocrypt 2004）解决了从噪声生物特征中提取可再生密钥的难题；模糊保险箱（Juels &amp; Sudan，2002）实现了密钥与生物特征的绑定式加密。2025年最新研究给出了基于同源假设的可重用模糊提取器，实现后量子安全。可撤销多模态模板保护算法（IEEE TETC, 2025）满足不可逆性、不可关联性和可撤销性三大标准。</w:t>
      </w:r>
    </w:p>
    <w:p w14:paraId="A65D184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15" w:name="_Toc9010"/>
      <w:r>
        <w:rPr>
          <w:rFonts w:ascii="Times New Roman" w:hAnsi="Times New Roman" w:eastAsia="仿宋" w:cs="Times New Roman"/>
          <w:sz w:val="32"/>
          <w:szCs w:val="32"/>
          <w:highlight w:val="none"/>
        </w:rPr>
        <w:t>3.2 技术空白分析</w:t>
      </w:r>
      <w:bookmarkEnd w:id="15"/>
    </w:p>
    <w:p w14:paraId="A9BEEE2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当前存在三个尚未被充分解决的技术空白：</w:t>
      </w:r>
    </w:p>
    <w:p w14:paraId="9B336FC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第一，视觉与运动传感信号的深度融合。两种异构模态在时间尺度上的对准与特征融合机制极少被探索。</w:t>
      </w:r>
    </w:p>
    <w:p w14:paraId="04AAC07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第二，唇部多模态特征到生物密钥的端到端生成。现有研究要么关注唇语识别精度，要么单独研究生物密钥算法，二者的衔接与联合优化仍是空白。</w:t>
      </w:r>
    </w:p>
    <w:p w14:paraId="C3FB887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第三，低成本、非侵入式的多模态唇部生物密钥采集方案在大学生创新项目中尚无成熟案例。</w:t>
      </w:r>
    </w:p>
    <w:p w14:paraId="354ECBB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16" w:name="_Toc18995"/>
      <w:r>
        <w:rPr>
          <w:rFonts w:ascii="Times New Roman" w:hAnsi="Times New Roman" w:eastAsia="仿宋" w:cs="Times New Roman"/>
          <w:sz w:val="32"/>
          <w:szCs w:val="32"/>
          <w:highlight w:val="none"/>
        </w:rPr>
        <w:t>3.3 项目必要性</w:t>
      </w:r>
      <w:bookmarkEnd w:id="16"/>
    </w:p>
    <w:p w14:paraId="B758BBB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政策层面，《“十四五”国家老龄事业发展和养老服务体系规划》明确发展智慧助残技术，《密码法》和《个人信息保护法》对生物特征安全提出更高要求；市场层面，智能座舱、工业AR、安全支付、无声人机交互等场景对鲁棒、隐私安全的身份认证有迫切需求。本项目填补唇部多模态识别与生物密钥结合的研究空白，兼具学术创新与落地应用前景，符合大创项目“兴趣驱动、自主实践、重在过程”的核心理念。</w:t>
      </w:r>
    </w:p>
    <w:p w14:paraId="CCEB062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3E7D2C8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17" w:name="_Toc4214"/>
      <w:r>
        <w:rPr>
          <w:rFonts w:ascii="Times New Roman" w:hAnsi="Times New Roman" w:eastAsia="黑体" w:cs="Times New Roman"/>
          <w:sz w:val="32"/>
          <w:szCs w:val="32"/>
          <w:highlight w:val="none"/>
        </w:rPr>
        <w:t>四、项目方案</w:t>
      </w:r>
      <w:bookmarkEnd w:id="17"/>
    </w:p>
    <w:p w14:paraId="A6E90C7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18" w:name="_Toc18567"/>
      <w:commentRangeStart w:id="4"/>
      <w:r>
        <w:rPr>
          <w:rFonts w:ascii="Times New Roman" w:hAnsi="Times New Roman" w:eastAsia="仿宋" w:cs="Times New Roman"/>
          <w:sz w:val="32"/>
          <w:szCs w:val="32"/>
          <w:highlight w:val="none"/>
        </w:rPr>
        <w:t>4.1 总体框架</w:t>
      </w:r>
      <w:bookmarkEnd w:id="18"/>
      <w:commentRangeEnd w:id="4"/>
      <w:r>
        <w:commentReference w:id="4"/>
      </w:r>
    </w:p>
    <w:p w14:paraId="78BAB6C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系统采用“感知层—特征层—融合层—密钥层—应用层”五层架构：</w:t>
      </w:r>
    </w:p>
    <w:p w14:paraId="190EF4F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感知层：高速摄像头采集唇部RGB视频流，柔性压力传感器同步采集唇部运动信号，通过硬件触发确保毫秒级时间戳对齐。</w:t>
      </w:r>
    </w:p>
    <w:p w14:paraId="7F0AC45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特征层：视觉支路利用轻量化3D-CNN（或MobileNetV3+时序Transformer）提取唇部时空特征序列；传感支路利用TCN提取运动信号时序特征。</w:t>
      </w:r>
    </w:p>
    <w:p w14:paraId="F825C1E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融合层：设计跨模态注意力融合模块，以视觉特征为Query、传感特征为Key/Value，进行动态特征对齐与融合，输出任务指令标签及融合特征向量。</w:t>
      </w:r>
    </w:p>
    <w:p w14:paraId="3C8FD44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密钥层：将融合特征向量输入模糊提取器（Gen算法），生成均匀随机密钥R和公开帮助串P；认证时通过Rep算法利用新采样和帮助串P恢复相同密钥。密钥存储采用可撤销模板保护，泄露后可重置。</w:t>
      </w:r>
    </w:p>
    <w:p w14:paraId="4D677387">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应用层：PyQt搭建图形交互界面，实时显示唇部ROI、传感波形、识别结果、密钥生成状态，支持身份认证、设备控制等应用。</w:t>
      </w:r>
    </w:p>
    <w:p w14:paraId="BC9A24E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19" w:name="_Toc2488"/>
      <w:commentRangeStart w:id="5"/>
      <w:r>
        <w:rPr>
          <w:rFonts w:ascii="Times New Roman" w:hAnsi="Times New Roman" w:eastAsia="仿宋" w:cs="Times New Roman"/>
          <w:sz w:val="32"/>
          <w:szCs w:val="32"/>
          <w:highlight w:val="none"/>
        </w:rPr>
        <w:t>4.2 关键技术</w:t>
      </w:r>
      <w:bookmarkEnd w:id="19"/>
      <w:commentRangeEnd w:id="5"/>
      <w:r>
        <w:commentReference w:id="5"/>
      </w:r>
    </w:p>
    <w:p w14:paraId="D06ECD5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0" w:name="_Toc11308"/>
      <w:r>
        <w:rPr>
          <w:rFonts w:ascii="Times New Roman" w:hAnsi="Times New Roman" w:eastAsia="仿宋" w:cs="Times New Roman"/>
          <w:sz w:val="32"/>
          <w:szCs w:val="32"/>
          <w:highlight w:val="none"/>
        </w:rPr>
        <w:t>（1）唇部ROI实时检测与跟踪</w:t>
      </w:r>
      <w:bookmarkEnd w:id="20"/>
    </w:p>
    <w:p w14:paraId="57C20DD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采用MediaPipe Face Mesh或轻量级YOLO-based唇部检测器，稳定提取唇部ROI，容忍光照变化与微幅头部转动。</w:t>
      </w:r>
    </w:p>
    <w:p w14:paraId="4C11EDE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1" w:name="_Toc27690"/>
      <w:r>
        <w:rPr>
          <w:rFonts w:ascii="Times New Roman" w:hAnsi="Times New Roman" w:eastAsia="仿宋" w:cs="Times New Roman"/>
          <w:sz w:val="32"/>
          <w:szCs w:val="32"/>
          <w:highlight w:val="none"/>
        </w:rPr>
        <w:t>（2）多尺度运动传感信号特征提取</w:t>
      </w:r>
      <w:bookmarkEnd w:id="21"/>
    </w:p>
    <w:p w14:paraId="18B5E45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对柔性压力传感器原始信号进行巴特沃斯低通滤波（截</w:t>
      </w:r>
    </w:p>
    <w:p w14:paraId="42FF56C8">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bookmarkStart w:id="42" w:name="_GoBack"/>
      <w:bookmarkEnd w:id="42"/>
      <w:r>
        <w:rPr>
          <w:rFonts w:ascii="Times New Roman" w:hAnsi="Times New Roman" w:eastAsia="仿宋" w:cs="Times New Roman"/>
          <w:sz w:val="32"/>
          <w:szCs w:val="32"/>
          <w:highlight w:val="none"/>
        </w:rPr>
        <w:t>止频率10Hz）与小波阈值去噪，提取时域（均值、方差、过零率）和频域（FFT主频、频谱能量）特征，构建运动描述子。</w:t>
      </w:r>
    </w:p>
    <w:p w14:paraId="E9E57B2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2" w:name="_Toc27093"/>
      <w:r>
        <w:rPr>
          <w:rFonts w:ascii="Times New Roman" w:hAnsi="Times New Roman" w:eastAsia="仿宋" w:cs="Times New Roman"/>
          <w:sz w:val="32"/>
          <w:szCs w:val="32"/>
          <w:highlight w:val="none"/>
        </w:rPr>
        <w:t>（3）跨模态融合识别网络</w:t>
      </w:r>
      <w:bookmarkEnd w:id="22"/>
    </w:p>
    <w:p w14:paraId="148902A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双流架构，视觉特征经Transformer Encoder建模时序依赖，传感特征经TCN捕获动态模式，在融合层通过交叉注意力进行自适应加权与分类，同时输出融合特征向量供密钥生成。</w:t>
      </w:r>
    </w:p>
    <w:p w14:paraId="B7AF782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3" w:name="_Toc23766"/>
      <w:r>
        <w:rPr>
          <w:rFonts w:ascii="Times New Roman" w:hAnsi="Times New Roman" w:eastAsia="仿宋" w:cs="Times New Roman"/>
          <w:sz w:val="32"/>
          <w:szCs w:val="32"/>
          <w:highlight w:val="none"/>
        </w:rPr>
        <w:t>（4）模糊提取器密钥生成</w:t>
      </w:r>
      <w:bookmarkEnd w:id="23"/>
    </w:p>
    <w:p w14:paraId="83D010D8">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基于Dodis等提出的模糊提取器框架，设计Gen/Rep算法：Gen将融合特征向量转换为密钥R和帮助串P，Rep利用新采样和P恢复相同R。采用安全概略实现，容忍类内差异，确保密钥可精确再生。</w:t>
      </w:r>
    </w:p>
    <w:p w14:paraId="78315BF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4" w:name="_Toc4347"/>
      <w:r>
        <w:rPr>
          <w:rFonts w:ascii="Times New Roman" w:hAnsi="Times New Roman" w:eastAsia="仿宋" w:cs="Times New Roman"/>
          <w:sz w:val="32"/>
          <w:szCs w:val="32"/>
          <w:highlight w:val="none"/>
        </w:rPr>
        <w:t>（5）可撤销模板保护</w:t>
      </w:r>
      <w:bookmarkEnd w:id="24"/>
    </w:p>
    <w:p w14:paraId="A85F83F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采用基于随机索引的可撤销多模态模板保护算法，通过哈希函数生成索引值并结合随机二进制向量，满足不可逆性、不可关联性和可撤销性标准。</w:t>
      </w:r>
    </w:p>
    <w:p w14:paraId="2B0E6A7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5" w:name="_Toc6530"/>
      <w:r>
        <w:rPr>
          <w:rFonts w:ascii="Times New Roman" w:hAnsi="Times New Roman" w:eastAsia="仿宋" w:cs="Times New Roman"/>
          <w:sz w:val="32"/>
          <w:szCs w:val="32"/>
          <w:highlight w:val="none"/>
        </w:rPr>
        <w:t>（6）轻量化设计与端侧部署预留</w:t>
      </w:r>
      <w:bookmarkEnd w:id="25"/>
    </w:p>
    <w:p w14:paraId="29860C5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采用深度可分离卷积、模型量化等技术，预留TensorRT/ONNX导出接口，为后续嵌入式移植奠定基础。</w:t>
      </w:r>
    </w:p>
    <w:p w14:paraId="6154F9F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4B5AC77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26" w:name="_Toc27575"/>
      <w:r>
        <w:rPr>
          <w:rFonts w:ascii="Times New Roman" w:hAnsi="Times New Roman" w:eastAsia="黑体" w:cs="Times New Roman"/>
          <w:sz w:val="32"/>
          <w:szCs w:val="32"/>
          <w:highlight w:val="none"/>
        </w:rPr>
        <w:t>五、项目特色与创新点</w:t>
      </w:r>
      <w:bookmarkEnd w:id="26"/>
    </w:p>
    <w:p w14:paraId="9785E06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27" w:name="_Toc25000"/>
      <w:r>
        <w:rPr>
          <w:rFonts w:ascii="Times New Roman" w:hAnsi="Times New Roman" w:eastAsia="仿宋" w:cs="Times New Roman"/>
          <w:sz w:val="32"/>
          <w:szCs w:val="32"/>
          <w:highlight w:val="none"/>
        </w:rPr>
        <w:t>5.1 项目特色</w:t>
      </w:r>
      <w:bookmarkEnd w:id="27"/>
    </w:p>
    <w:p w14:paraId="E02114A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8" w:name="_Toc27225"/>
      <w:r>
        <w:rPr>
          <w:rFonts w:ascii="Times New Roman" w:hAnsi="Times New Roman" w:eastAsia="仿宋" w:cs="Times New Roman"/>
          <w:sz w:val="32"/>
          <w:szCs w:val="32"/>
          <w:highlight w:val="none"/>
        </w:rPr>
        <w:t>（1）多模态互补鲁棒性设计</w:t>
      </w:r>
      <w:bookmarkEnd w:id="28"/>
    </w:p>
    <w:p w14:paraId="E56B74A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视觉捕获“形”，传感捕获“动”，双通路交叉验证。任一通路受干扰时另一通路仍可维持基本识别能力，系统鲁棒性显著优于单模态方案。</w:t>
      </w:r>
    </w:p>
    <w:p w14:paraId="2E9566F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29" w:name="_Toc16422"/>
      <w:r>
        <w:rPr>
          <w:rFonts w:ascii="Times New Roman" w:hAnsi="Times New Roman" w:eastAsia="仿宋" w:cs="Times New Roman"/>
          <w:sz w:val="32"/>
          <w:szCs w:val="32"/>
          <w:highlight w:val="none"/>
        </w:rPr>
        <w:t>（2）任务级识别轻量化路线</w:t>
      </w:r>
      <w:bookmarkEnd w:id="29"/>
    </w:p>
    <w:p w14:paraId="CD1FD9C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聚焦预设任务指令集而非开放式自然语言，模型参数量大幅压缩，推理延迟降低，为实时嵌入式部署创造可行空间。</w:t>
      </w:r>
    </w:p>
    <w:p w14:paraId="F03B697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30" w:name="_Toc8398"/>
      <w:r>
        <w:rPr>
          <w:rFonts w:ascii="Times New Roman" w:hAnsi="Times New Roman" w:eastAsia="仿宋" w:cs="Times New Roman"/>
          <w:sz w:val="32"/>
          <w:szCs w:val="32"/>
          <w:highlight w:val="none"/>
        </w:rPr>
        <w:t>（3）软硬件协同交付</w:t>
      </w:r>
      <w:bookmarkEnd w:id="30"/>
    </w:p>
    <w:p w14:paraId="F5F1A0B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不同于纯算法类项目，本项目交付物包含传感器采集硬件原型与系统软件，形成完整闭环。</w:t>
      </w:r>
    </w:p>
    <w:p w14:paraId="3644CE5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2"/>
        <w:rPr>
          <w:rFonts w:ascii="Times New Roman" w:hAnsi="Times New Roman" w:eastAsia="仿宋" w:cs="Times New Roman"/>
          <w:sz w:val="32"/>
          <w:szCs w:val="32"/>
          <w:highlight w:val="none"/>
        </w:rPr>
      </w:pPr>
      <w:bookmarkStart w:id="31" w:name="_Toc925"/>
      <w:r>
        <w:rPr>
          <w:rFonts w:ascii="Times New Roman" w:hAnsi="Times New Roman" w:eastAsia="仿宋" w:cs="Times New Roman"/>
          <w:sz w:val="32"/>
          <w:szCs w:val="32"/>
          <w:highlight w:val="none"/>
        </w:rPr>
        <w:t>（4）“识别+密钥”双模块一体化</w:t>
      </w:r>
      <w:bookmarkEnd w:id="31"/>
    </w:p>
    <w:p w14:paraId="AD9C4A2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在单一系统中同时完成多模态融合识别和生物密钥生成，实现从感知到安全认证的端到端闭环，这在大学生创新项目中尚无先例。</w:t>
      </w:r>
    </w:p>
    <w:p w14:paraId="C517EE78">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32" w:name="_Toc3085"/>
      <w:r>
        <w:rPr>
          <w:rFonts w:ascii="Times New Roman" w:hAnsi="Times New Roman" w:eastAsia="仿宋" w:cs="Times New Roman"/>
          <w:sz w:val="32"/>
          <w:szCs w:val="32"/>
          <w:highlight w:val="none"/>
        </w:rPr>
        <w:t>5.2 创新点</w:t>
      </w:r>
      <w:bookmarkEnd w:id="32"/>
    </w:p>
    <w:p w14:paraId="AA8F1C3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创新点一：首次在</w:t>
      </w:r>
      <w:r>
        <w:rPr>
          <w:rFonts w:ascii="Times New Roman" w:hAnsi="Times New Roman" w:eastAsia="仿宋" w:cs="Times New Roman"/>
          <w:sz w:val="32"/>
          <w:szCs w:val="32"/>
          <w:highlight w:val="yellow"/>
        </w:rPr>
        <w:t>唇部任务</w:t>
      </w:r>
      <w:r>
        <w:rPr>
          <w:rFonts w:ascii="Times New Roman" w:hAnsi="Times New Roman" w:eastAsia="仿宋" w:cs="Times New Roman"/>
          <w:sz w:val="32"/>
          <w:szCs w:val="32"/>
          <w:highlight w:val="none"/>
        </w:rPr>
        <w:t>识别中建立视觉外观特征与运动传感特征的双流融合模型，弥补现有研究中视觉与物理传感信号融合的空白。</w:t>
      </w:r>
    </w:p>
    <w:p w14:paraId="A2B91EE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创新点二：提出以视觉特征为查询、传感特征为补充的</w:t>
      </w:r>
      <w:r>
        <w:rPr>
          <w:rFonts w:ascii="Times New Roman" w:hAnsi="Times New Roman" w:eastAsia="仿宋" w:cs="Times New Roman"/>
          <w:sz w:val="32"/>
          <w:szCs w:val="32"/>
          <w:highlight w:val="yellow"/>
        </w:rPr>
        <w:t>跨模态</w:t>
      </w:r>
      <w:r>
        <w:rPr>
          <w:rFonts w:ascii="Times New Roman" w:hAnsi="Times New Roman" w:eastAsia="仿宋" w:cs="Times New Roman"/>
          <w:sz w:val="32"/>
          <w:szCs w:val="32"/>
          <w:highlight w:val="none"/>
        </w:rPr>
        <w:t>注意力融合策略，能更精细地对齐两种异构特征中的互补信息。</w:t>
      </w:r>
    </w:p>
    <w:p w14:paraId="E744D4C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创新点三：构建面向真实交互场景的任务指令识别范式，跳脱传统词级/句子级学术设定，更贴近智能家居、工业控制等落地需求。</w:t>
      </w:r>
    </w:p>
    <w:p w14:paraId="622F8F9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创新点四：首次将唇部视觉-传感融合特征与模糊提取器结合，实现从唇部多模态特征到可撤销生物密钥的端到端生成与认证，弥补了现有唇语识别研究在</w:t>
      </w:r>
      <w:r>
        <w:rPr>
          <w:rFonts w:ascii="Times New Roman" w:hAnsi="Times New Roman" w:eastAsia="仿宋" w:cs="Times New Roman"/>
          <w:sz w:val="32"/>
          <w:szCs w:val="32"/>
          <w:highlight w:val="yellow"/>
        </w:rPr>
        <w:t>密码学安全</w:t>
      </w:r>
      <w:r>
        <w:rPr>
          <w:rFonts w:ascii="Times New Roman" w:hAnsi="Times New Roman" w:eastAsia="仿宋" w:cs="Times New Roman"/>
          <w:sz w:val="32"/>
          <w:szCs w:val="32"/>
          <w:highlight w:val="none"/>
        </w:rPr>
        <w:t>应用层面的空白。</w:t>
      </w:r>
    </w:p>
    <w:p w14:paraId="082D498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12414D2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33" w:name="_Toc25237"/>
      <w:r>
        <w:rPr>
          <w:rFonts w:ascii="Times New Roman" w:hAnsi="Times New Roman" w:eastAsia="黑体" w:cs="Times New Roman"/>
          <w:sz w:val="32"/>
          <w:szCs w:val="32"/>
          <w:highlight w:val="none"/>
        </w:rPr>
        <w:t>六、项目进度安排</w:t>
      </w:r>
      <w:bookmarkEnd w:id="33"/>
    </w:p>
    <w:p w14:paraId="6A07876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本项目围绕“唇部多模态识别→生物密钥生成”核心目标，遵循“第一阶段多模态融合识别、第二阶段生物密钥系统构建”的两阶段递进原则，划分为三个建设周期，总周期两年。</w:t>
      </w:r>
    </w:p>
    <w:p w14:paraId="35F3EDBB">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b/>
          <w:bCs/>
          <w:sz w:val="32"/>
          <w:szCs w:val="32"/>
          <w:highlight w:val="none"/>
        </w:rPr>
      </w:pPr>
      <w:bookmarkStart w:id="34" w:name="_Toc18472"/>
      <w:r>
        <w:rPr>
          <w:rFonts w:hint="eastAsia" w:ascii="Times New Roman" w:hAnsi="Times New Roman" w:eastAsia="仿宋" w:cs="Times New Roman"/>
          <w:kern w:val="2"/>
          <w:sz w:val="32"/>
          <w:szCs w:val="32"/>
          <w:lang w:val="en-US" w:eastAsia="zh-CN" w:bidi="ar-SA"/>
        </w:rPr>
        <w:t>6.</w:t>
      </w:r>
      <w:r>
        <w:rPr>
          <w:rFonts w:ascii="Times New Roman" w:hAnsi="Times New Roman" w:eastAsia="仿宋" w:cs="Times New Roman"/>
          <w:kern w:val="2"/>
          <w:sz w:val="32"/>
          <w:szCs w:val="32"/>
          <w:lang w:val="en-US" w:eastAsia="zh-CN" w:bidi="ar-SA"/>
        </w:rPr>
        <w:t>1.</w:t>
      </w:r>
      <w:r>
        <w:rPr>
          <w:rFonts w:hint="eastAsia" w:ascii="Times New Roman" w:hAnsi="Times New Roman" w:eastAsia="仿宋" w:cs="Times New Roman"/>
          <w:kern w:val="2"/>
          <w:sz w:val="32"/>
          <w:szCs w:val="32"/>
          <w:lang w:val="en-US" w:eastAsia="zh-CN" w:bidi="ar-SA"/>
        </w:rPr>
        <w:t xml:space="preserve"> </w:t>
      </w:r>
      <w:r>
        <w:rPr>
          <w:rFonts w:ascii="Times New Roman" w:hAnsi="Times New Roman" w:eastAsia="仿宋" w:cs="Times New Roman"/>
          <w:b/>
          <w:bCs/>
          <w:sz w:val="32"/>
          <w:szCs w:val="32"/>
          <w:highlight w:val="none"/>
        </w:rPr>
        <w:t>第一周期：纯视觉唇语识别系统构建与生物密钥方案论证（第1—8个月）</w:t>
      </w:r>
      <w:bookmarkEnd w:id="34"/>
    </w:p>
    <w:p w14:paraId="0053CFB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周期目标</w:t>
      </w:r>
      <w:r>
        <w:rPr>
          <w:rFonts w:hint="eastAsia" w:ascii="Times New Roman" w:hAnsi="Times New Roman" w:eastAsia="仿宋" w:cs="Times New Roman"/>
          <w:sz w:val="32"/>
          <w:szCs w:val="32"/>
          <w:highlight w:val="none"/>
          <w:lang w:eastAsia="zh-CN"/>
        </w:rPr>
        <w:t>：</w:t>
      </w:r>
    </w:p>
    <w:p w14:paraId="5B02C8A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构建基于普通摄像头的纯视觉唇语识别系统，实现无声环境下的唇语指令识别，为多模态融合识别奠定视觉模块基础；同步调研生物密钥核心技术（模糊提取器、模糊保险箱），完成密码学方案选型与可行性验证。</w:t>
      </w:r>
    </w:p>
    <w:p w14:paraId="E5EDCDC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核心任务</w:t>
      </w:r>
      <w:r>
        <w:rPr>
          <w:rFonts w:hint="eastAsia" w:ascii="Times New Roman" w:hAnsi="Times New Roman" w:eastAsia="仿宋" w:cs="Times New Roman"/>
          <w:sz w:val="32"/>
          <w:szCs w:val="32"/>
          <w:highlight w:val="none"/>
          <w:lang w:eastAsia="zh-CN"/>
        </w:rPr>
        <w:t>：</w:t>
      </w:r>
    </w:p>
    <w:p w14:paraId="E6D37F9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采用纯视觉方案，利用普通USB摄像头采集唇部运动视频流；以开源唇语识别数据库（GRID、OuluVS2等）为训练依据，结合深度学习模型实现无声语音指令识别；开发基础版PyQt5 GUI，实现“采集-识别-显示”流程；调研模糊提取器、模糊保险箱、可撤销模板保护等生物密钥方案，完成方案选型与技术可行性分析报告。</w:t>
      </w:r>
    </w:p>
    <w:p w14:paraId="B7D84E2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主要交付成果</w:t>
      </w:r>
      <w:r>
        <w:rPr>
          <w:rFonts w:hint="eastAsia" w:ascii="Times New Roman" w:hAnsi="Times New Roman" w:eastAsia="仿宋" w:cs="Times New Roman"/>
          <w:sz w:val="32"/>
          <w:szCs w:val="32"/>
          <w:highlight w:val="none"/>
          <w:lang w:eastAsia="zh-CN"/>
        </w:rPr>
        <w:t>：</w:t>
      </w:r>
    </w:p>
    <w:p w14:paraId="4FE4C82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① 含唇部关键点提取及编码的训练数据集；② 可运行的CNN-LSTM唇语识别模型训练代码与评估报告；③ Windows/Linux跨平台纯视觉唇语识别桌面应用Demo；④ 生物密钥技术选型与可行性分析报告。</w:t>
      </w:r>
    </w:p>
    <w:p w14:paraId="CCF1864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时间安排</w:t>
      </w:r>
      <w:r>
        <w:rPr>
          <w:rFonts w:hint="eastAsia" w:ascii="Times New Roman" w:hAnsi="Times New Roman" w:eastAsia="仿宋" w:cs="Times New Roman"/>
          <w:sz w:val="32"/>
          <w:szCs w:val="32"/>
          <w:highlight w:val="none"/>
          <w:lang w:eastAsia="zh-CN"/>
        </w:rPr>
        <w:t>：</w:t>
      </w:r>
    </w:p>
    <w:p w14:paraId="CF8DF0B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第1—3个月：安装开发环境，基于MediaPipe提取唇部关键点，构建时序特征矩阵；基于GRID等公开数据集进行预训练。第4—6个月：模型调优与适配，在自建指令集上微调，达到纯视觉基线准确率≥75%。第7—8个月：基础GUI开发与软硬件联合调试，输出纯视觉可演示版本；完成生物密钥方案选型报告。</w:t>
      </w:r>
    </w:p>
    <w:p w14:paraId="DF1CF05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4C062C9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35" w:name="_Toc29145"/>
      <w:r>
        <w:rPr>
          <w:rFonts w:hint="eastAsia" w:ascii="Times New Roman" w:hAnsi="Times New Roman" w:eastAsia="仿宋" w:cs="Times New Roman"/>
          <w:b w:val="0"/>
          <w:bCs w:val="0"/>
          <w:sz w:val="32"/>
          <w:szCs w:val="32"/>
          <w:highlight w:val="none"/>
          <w:lang w:val="en-US" w:eastAsia="zh-CN"/>
        </w:rPr>
        <w:t xml:space="preserve">6.2. </w:t>
      </w:r>
      <w:r>
        <w:rPr>
          <w:rFonts w:ascii="Times New Roman" w:hAnsi="Times New Roman" w:eastAsia="仿宋" w:cs="Times New Roman"/>
          <w:b/>
          <w:bCs/>
          <w:sz w:val="32"/>
          <w:szCs w:val="32"/>
          <w:highlight w:val="none"/>
        </w:rPr>
        <w:t>第二周期：视-触融合识别与生物密钥核心模块研发（第9—16个月）</w:t>
      </w:r>
      <w:bookmarkEnd w:id="35"/>
    </w:p>
    <w:p w14:paraId="D49B6B3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周期目标</w:t>
      </w:r>
      <w:r>
        <w:rPr>
          <w:rFonts w:hint="eastAsia" w:ascii="Times New Roman" w:hAnsi="Times New Roman" w:eastAsia="仿宋" w:cs="Times New Roman"/>
          <w:sz w:val="32"/>
          <w:szCs w:val="32"/>
          <w:highlight w:val="none"/>
          <w:lang w:eastAsia="zh-CN"/>
        </w:rPr>
        <w:t>：</w:t>
      </w:r>
    </w:p>
    <w:p w14:paraId="F21670E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引入柔性压感传感器，搭建视觉-传感同步采集硬件平台，建立视-触配对数据集；设计并实现跨模态融合识别网络，使识别准确率达到85%以上；完成融合特征到生物密钥的生成算法设计与实现，形成“识别+密钥生成”核心模块。</w:t>
      </w:r>
    </w:p>
    <w:p w14:paraId="C4BFB61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核心任务</w:t>
      </w:r>
      <w:r>
        <w:rPr>
          <w:rFonts w:hint="eastAsia" w:ascii="Times New Roman" w:hAnsi="Times New Roman" w:eastAsia="仿宋" w:cs="Times New Roman"/>
          <w:sz w:val="32"/>
          <w:szCs w:val="32"/>
          <w:highlight w:val="none"/>
          <w:lang w:eastAsia="zh-CN"/>
        </w:rPr>
        <w:t>：</w:t>
      </w:r>
    </w:p>
    <w:p w14:paraId="C1E06FD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采购或搭建低成本柔性压感传感模块，开发基于Arduino/ESP32的同步触发与数据记录程序，实现与USB摄像头的同步采集；建立小规模视-触配对数据集（≥10名受试者，每人15条指令重复采集），对传感信号进行滤波与特征提取；实现双流特征提取网络，设计交叉注意力融合模块，进行多模态联合训练和超参调优；在模拟干扰场景下测试融合增益，确保融合系统比纯视觉单模态准确率提升至少10个百分点；设计模糊提取器（Gen/Rep算法），实现从唇部融合特征向量到均匀随机密钥的生成与再生；实现生物密钥的可撤销模板保护机制，确保模板泄露后可撤销并重新生成；完善GUI实时显示功能，添加传感波形监控和置信度显示。</w:t>
      </w:r>
    </w:p>
    <w:p w14:paraId="57AAEC2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主要交付成果</w:t>
      </w:r>
      <w:r>
        <w:rPr>
          <w:rFonts w:hint="eastAsia" w:ascii="Times New Roman" w:hAnsi="Times New Roman" w:eastAsia="仿宋" w:cs="Times New Roman"/>
          <w:sz w:val="32"/>
          <w:szCs w:val="32"/>
          <w:highlight w:val="none"/>
          <w:lang w:eastAsia="zh-CN"/>
        </w:rPr>
        <w:t>：</w:t>
      </w:r>
    </w:p>
    <w:p w14:paraId="5B67BBF8">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① 视觉-传感同步采集硬件原型（含电路图和代码）；② 小规模视-触配对数据集；③ 多模态融合模型完整训练代码与实验分析；④ 桌面端融合识别系统V1.0（含用户手册）；⑤ 生物密钥生成模块代码与测试报告（含FAR/FRR指标）。</w:t>
      </w:r>
    </w:p>
    <w:p w14:paraId="B89FDA0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时间安排</w:t>
      </w:r>
      <w:r>
        <w:rPr>
          <w:rFonts w:hint="eastAsia" w:ascii="Times New Roman" w:hAnsi="Times New Roman" w:eastAsia="仿宋" w:cs="Times New Roman"/>
          <w:sz w:val="32"/>
          <w:szCs w:val="32"/>
          <w:highlight w:val="none"/>
          <w:lang w:eastAsia="zh-CN"/>
        </w:rPr>
        <w:t>：</w:t>
      </w:r>
    </w:p>
    <w:p w14:paraId="2E783D1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第9—11个月：传感硬件搭建、同步方案实现，数据集建立，融合网络结构设计与消融实验。第12—14个月：多模态联合训练、调优，达到指标要求；模糊提取器设计与实现。第15—16个月：系统联调、性能优化，输出V1.0可演示版本。</w:t>
      </w:r>
    </w:p>
    <w:p w14:paraId="BA9F0D1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F2A4877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b/>
          <w:bCs/>
          <w:sz w:val="32"/>
          <w:szCs w:val="32"/>
          <w:highlight w:val="none"/>
        </w:rPr>
      </w:pPr>
      <w:bookmarkStart w:id="36" w:name="_Toc25530"/>
      <w:r>
        <w:rPr>
          <w:rFonts w:hint="eastAsia" w:ascii="Times New Roman" w:hAnsi="Times New Roman" w:eastAsia="仿宋" w:cs="Times New Roman"/>
          <w:b w:val="0"/>
          <w:bCs w:val="0"/>
          <w:sz w:val="32"/>
          <w:szCs w:val="32"/>
          <w:highlight w:val="none"/>
          <w:lang w:val="en-US" w:eastAsia="zh-CN"/>
        </w:rPr>
        <w:t xml:space="preserve">6.3. </w:t>
      </w:r>
      <w:r>
        <w:rPr>
          <w:rFonts w:ascii="Times New Roman" w:hAnsi="Times New Roman" w:eastAsia="仿宋" w:cs="Times New Roman"/>
          <w:b/>
          <w:bCs/>
          <w:sz w:val="32"/>
          <w:szCs w:val="32"/>
          <w:highlight w:val="none"/>
        </w:rPr>
        <w:t>第三周期：系统集成、场景适配与成果凝练（第17—24个月）</w:t>
      </w:r>
      <w:bookmarkEnd w:id="36"/>
    </w:p>
    <w:p w14:paraId="A1457BF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周期目标</w:t>
      </w:r>
      <w:r>
        <w:rPr>
          <w:rFonts w:hint="eastAsia" w:ascii="Times New Roman" w:hAnsi="Times New Roman" w:eastAsia="仿宋" w:cs="Times New Roman"/>
          <w:sz w:val="32"/>
          <w:szCs w:val="32"/>
          <w:highlight w:val="none"/>
          <w:lang w:eastAsia="zh-CN"/>
        </w:rPr>
        <w:t>：</w:t>
      </w:r>
    </w:p>
    <w:p w14:paraId="CCEBC2B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将多模态识别模块与生物密钥模块集成为一体化原型系统；针对身份认证、安全支付等场景开发定制化演示案例；完成学术论文投稿、专利申请和竞赛参与。</w:t>
      </w:r>
    </w:p>
    <w:p w14:paraId="751A463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核心任务</w:t>
      </w:r>
      <w:r>
        <w:rPr>
          <w:rFonts w:hint="eastAsia" w:ascii="Times New Roman" w:hAnsi="Times New Roman" w:eastAsia="仿宋" w:cs="Times New Roman"/>
          <w:sz w:val="32"/>
          <w:szCs w:val="32"/>
          <w:highlight w:val="none"/>
          <w:lang w:eastAsia="zh-CN"/>
        </w:rPr>
        <w:t>：</w:t>
      </w:r>
    </w:p>
    <w:p w14:paraId="47DE6D8D">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将摄像头、传感模块、处理单元集成为一体化原型硬件，优化体积与功耗；采用模型量化和知识蒸馏等技术压缩模型，测试在边缘设备上的推理速度；完善“指令识别+生物密钥验证”双功能认证演示，支持活体检测与防重放攻击；录制典型场景应用视频（静默身份认证、安全支付授权等），编写技术白皮书；撰写并投稿论文，申请软件著作权和发明专利，参加“挑战杯”等赛事。</w:t>
      </w:r>
    </w:p>
    <w:p w14:paraId="529F82B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主要交付成果</w:t>
      </w:r>
      <w:r>
        <w:rPr>
          <w:rFonts w:hint="eastAsia" w:ascii="Times New Roman" w:hAnsi="Times New Roman" w:eastAsia="仿宋" w:cs="Times New Roman"/>
          <w:sz w:val="32"/>
          <w:szCs w:val="32"/>
          <w:highlight w:val="none"/>
          <w:lang w:eastAsia="zh-CN"/>
        </w:rPr>
        <w:t>：</w:t>
      </w:r>
    </w:p>
    <w:p w14:paraId="353FC0E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① 一体化多模态信号采集与识别硬件原型1套；② 轻量化融合模型及嵌入式部署示例；③ 面向典型场景的完整演示视频与技术文档；④ 学术论文1篇（投稿或录用），软件著作权1项，发明专利1项（方向：基于视-触融合的唇部生物密钥生成与认证方法）；⑤ 竞赛参赛证明与结题报告。</w:t>
      </w:r>
    </w:p>
    <w:p w14:paraId="E3D25B0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时间安排</w:t>
      </w:r>
      <w:r>
        <w:rPr>
          <w:rFonts w:hint="eastAsia" w:ascii="Times New Roman" w:hAnsi="Times New Roman" w:eastAsia="仿宋" w:cs="Times New Roman"/>
          <w:sz w:val="32"/>
          <w:szCs w:val="32"/>
          <w:highlight w:val="none"/>
          <w:lang w:eastAsia="zh-CN"/>
        </w:rPr>
        <w:t>：</w:t>
      </w:r>
    </w:p>
    <w:p w14:paraId="58EF22F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第17—19个月：模型轻量化、嵌入式部署探索，硬件一体化设计。第20—22个月：场景演示案例开发，用户体验测试与迭代。第23—24个月：成果汇总，论文专利撰写提交，结题答辩准备。</w:t>
      </w:r>
    </w:p>
    <w:p w14:paraId="11EBE00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99292E3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37" w:name="_Toc1711"/>
      <w:r>
        <w:rPr>
          <w:rFonts w:ascii="Times New Roman" w:hAnsi="Times New Roman" w:eastAsia="黑体" w:cs="Times New Roman"/>
          <w:sz w:val="32"/>
          <w:szCs w:val="32"/>
          <w:highlight w:val="none"/>
        </w:rPr>
        <w:t>七、风险管</w:t>
      </w:r>
      <w:r>
        <w:rPr>
          <w:rFonts w:hint="eastAsia" w:ascii="Times New Roman" w:hAnsi="Times New Roman" w:eastAsia="黑体" w:cs="Times New Roman"/>
          <w:sz w:val="32"/>
          <w:szCs w:val="32"/>
          <w:highlight w:val="none"/>
          <w:lang w:val="en-US" w:eastAsia="zh-CN"/>
        </w:rPr>
        <w:t>控与</w:t>
      </w:r>
      <w:r>
        <w:rPr>
          <w:rFonts w:ascii="Times New Roman" w:hAnsi="Times New Roman" w:eastAsia="黑体" w:cs="Times New Roman"/>
          <w:sz w:val="32"/>
          <w:szCs w:val="32"/>
          <w:highlight w:val="none"/>
        </w:rPr>
        <w:t>技术风险</w:t>
      </w:r>
      <w:bookmarkEnd w:id="37"/>
    </w:p>
    <w:p w14:paraId="1B316FA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纯视觉支路对环境光照敏感，部分场景识别率偏低。应对措施：第一周期通过数据增强（亮度、对比度变化）提升模型泛化能力；第二周期引入传感支路后，利用运动信号互补增强，从根源上解决光照敏感问题。</w:t>
      </w:r>
    </w:p>
    <w:p w14:paraId="A9C0BED4">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传感信号易受个体差异、电极接触影响。应对措施：筛选固定受试者多次采集，采用标准化实验流程与自适应滤波；信号预处理中采取移动平均和异常检测。</w:t>
      </w:r>
    </w:p>
    <w:p w14:paraId="643AD74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模糊提取器对类内差异容忍度不足，导致密钥再生失败。应对措施：通过增加注册样本数、优化安全概略参数（如纠错码选择）提升容错能力；备选方案采用模糊保险箱绑定密钥。</w:t>
      </w:r>
    </w:p>
    <w:p w14:paraId="C323183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管理风险</w:t>
      </w:r>
      <w:r>
        <w:rPr>
          <w:rFonts w:hint="eastAsia" w:ascii="Times New Roman" w:hAnsi="Times New Roman" w:eastAsia="仿宋" w:cs="Times New Roman"/>
          <w:sz w:val="32"/>
          <w:szCs w:val="32"/>
          <w:highlight w:val="none"/>
          <w:lang w:eastAsia="zh-CN"/>
        </w:rPr>
        <w:t>：</w:t>
      </w:r>
    </w:p>
    <w:p w14:paraId="9F508429">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项目周期长，成员积极性波动。应对措施：设立周期性交付物考核，每周期末进行阶段性成果展示，增强成就感；分工轮换，避免单一枯燥。</w:t>
      </w:r>
    </w:p>
    <w:p w14:paraId="17ABAD7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资金风险</w:t>
      </w:r>
      <w:r>
        <w:rPr>
          <w:rFonts w:hint="eastAsia" w:ascii="Times New Roman" w:hAnsi="Times New Roman" w:eastAsia="仿宋" w:cs="Times New Roman"/>
          <w:sz w:val="32"/>
          <w:szCs w:val="32"/>
          <w:highlight w:val="none"/>
          <w:lang w:eastAsia="zh-CN"/>
        </w:rPr>
        <w:t>：</w:t>
      </w:r>
    </w:p>
    <w:p w14:paraId="DB6C8D7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传感模块采购超出预算。应对措施：初期优先采用低成本模拟前端芯片或现成开发板；中期如遇困难，申请学院科研预备金或校企合作支持。</w:t>
      </w:r>
    </w:p>
    <w:p w14:paraId="D1FAA72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hint="eastAsia" w:ascii="Times New Roman" w:hAnsi="Times New Roman" w:eastAsia="仿宋" w:cs="Times New Roman"/>
          <w:sz w:val="32"/>
          <w:szCs w:val="32"/>
          <w:highlight w:val="none"/>
          <w:lang w:eastAsia="zh-CN"/>
        </w:rPr>
      </w:pPr>
      <w:r>
        <w:rPr>
          <w:rFonts w:ascii="Times New Roman" w:hAnsi="Times New Roman" w:eastAsia="仿宋" w:cs="Times New Roman"/>
          <w:sz w:val="32"/>
          <w:szCs w:val="32"/>
          <w:highlight w:val="none"/>
        </w:rPr>
        <w:t>预案储备</w:t>
      </w:r>
      <w:r>
        <w:rPr>
          <w:rFonts w:hint="eastAsia" w:ascii="Times New Roman" w:hAnsi="Times New Roman" w:eastAsia="仿宋" w:cs="Times New Roman"/>
          <w:sz w:val="32"/>
          <w:szCs w:val="32"/>
          <w:highlight w:val="none"/>
          <w:lang w:eastAsia="zh-CN"/>
        </w:rPr>
        <w:t>：</w:t>
      </w:r>
    </w:p>
    <w:p w14:paraId="A5DB70A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备用融合方案：若交叉注意力融合效果不达预期，降级采用特征向量拼接+多层感知机方案，作为保底交付。备用密钥方案：若模糊提取器实现复杂度超预期，先采用简化版安全概略实现基本功能，后续迭代优化。技术支持：已与实验室研究生建立联系，承诺在关键调试阶段提供协助。外部数据：Chinese-LiPS中文多模态数据集已申请下载，可在自建数据量不足时用于扩充和迁移学习。</w:t>
      </w:r>
    </w:p>
    <w:p w14:paraId="9AA309D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EBA2B9E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38" w:name="_Toc9143"/>
      <w:r>
        <w:rPr>
          <w:rFonts w:ascii="Times New Roman" w:hAnsi="Times New Roman" w:eastAsia="黑体" w:cs="Times New Roman"/>
          <w:sz w:val="32"/>
          <w:szCs w:val="32"/>
          <w:highlight w:val="none"/>
        </w:rPr>
        <w:t>八、项目完成预期成果</w:t>
      </w:r>
      <w:bookmarkEnd w:id="38"/>
    </w:p>
    <w:p w14:paraId="D7E0C42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hint="eastAsia" w:ascii="Times New Roman" w:hAnsi="Times New Roman" w:eastAsia="仿宋" w:cs="Times New Roman"/>
          <w:sz w:val="32"/>
          <w:szCs w:val="32"/>
          <w:highlight w:val="none"/>
          <w:lang w:eastAsia="zh-CN"/>
        </w:rPr>
      </w:pPr>
      <w:bookmarkStart w:id="39" w:name="_Toc11223"/>
      <w:r>
        <w:rPr>
          <w:rFonts w:ascii="Times New Roman" w:hAnsi="Times New Roman" w:eastAsia="仿宋" w:cs="Times New Roman"/>
          <w:sz w:val="32"/>
          <w:szCs w:val="32"/>
          <w:highlight w:val="none"/>
        </w:rPr>
        <w:t>8.1 直接成果</w:t>
      </w:r>
      <w:bookmarkEnd w:id="39"/>
    </w:p>
    <w:p w14:paraId="95ABA54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学术成果：发表（或投稿）省级以上学术期刊/会议论文1篇，申请软件著作权1项，申请发明专利1项（方向：基于视-触融合的唇部生物密钥生成与认证方法）。</w:t>
      </w:r>
    </w:p>
    <w:p w14:paraId="B4CE019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产品成果：交付基于唇部多模态识别的生物密钥认证系统V1.0（含源码与用户手册），交付原型多模态信号采集硬件装置1套。</w:t>
      </w:r>
    </w:p>
    <w:p w14:paraId="12280B97">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技术指标：在自建任务指令集（≥15条）上，多模态融合识别准确率≥85%；生物密钥认证误识率（FAR）≤0.1%，拒真率（FRR）≤5%，支持实时唇部ROI与传感波形监控。</w:t>
      </w:r>
    </w:p>
    <w:p w14:paraId="3A79D11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1"/>
        <w:rPr>
          <w:rFonts w:ascii="Times New Roman" w:hAnsi="Times New Roman" w:eastAsia="仿宋" w:cs="Times New Roman"/>
          <w:sz w:val="32"/>
          <w:szCs w:val="32"/>
          <w:highlight w:val="none"/>
        </w:rPr>
      </w:pPr>
      <w:bookmarkStart w:id="40" w:name="_Toc25339"/>
      <w:r>
        <w:rPr>
          <w:rFonts w:ascii="Times New Roman" w:hAnsi="Times New Roman" w:eastAsia="仿宋" w:cs="Times New Roman"/>
          <w:sz w:val="32"/>
          <w:szCs w:val="32"/>
          <w:highlight w:val="none"/>
        </w:rPr>
        <w:t>8.2 间接价值与社会/经济效益</w:t>
      </w:r>
      <w:bookmarkEnd w:id="40"/>
    </w:p>
    <w:p w14:paraId="A43D5CC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社会效益：项目成果可为信息安全领域提供“唇部生物特征+动态口令”的双因素认证方案，有效抵御深度伪造和声纹克隆攻击，提升身份认证的安全水平；同时服务于失声人群辅助沟通和高噪声工业现场人机交互，促进信息无障碍建设。</w:t>
      </w:r>
    </w:p>
    <w:p w14:paraId="B09A1F87">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经济效益：相较于商业化唇语识别设备（市场参考价2-5万元/套），本系统成本低廉，预计可将终端部署成本降低80%以上，为中小企业和助残机构提供可行方案。</w:t>
      </w:r>
    </w:p>
    <w:p w14:paraId="0A6684CA">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竞赛与推广：力争参加“挑战杯”“互联网+”等赛事并获奖，提升项目学术与社会影响力。</w:t>
      </w:r>
    </w:p>
    <w:p w14:paraId="4906554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p>
    <w:p w14:paraId="C29D4DE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outlineLvl w:val="0"/>
        <w:rPr>
          <w:rFonts w:ascii="Times New Roman" w:hAnsi="Times New Roman" w:eastAsia="黑体" w:cs="Times New Roman"/>
          <w:sz w:val="32"/>
          <w:szCs w:val="32"/>
          <w:highlight w:val="none"/>
        </w:rPr>
      </w:pPr>
      <w:bookmarkStart w:id="41" w:name="_Toc18294"/>
      <w:r>
        <w:rPr>
          <w:rFonts w:ascii="Times New Roman" w:hAnsi="Times New Roman" w:eastAsia="黑体" w:cs="Times New Roman"/>
          <w:sz w:val="32"/>
          <w:szCs w:val="32"/>
          <w:highlight w:val="none"/>
        </w:rPr>
        <w:t>九、参考文献</w:t>
      </w:r>
      <w:bookmarkEnd w:id="41"/>
    </w:p>
    <w:p w14:paraId="6C496DB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 Y. M. Assael, B. Shillingford, S. Whiteson, and N. de Freitas, "LipNet: End-to-End Sentence-level Lipreading," arXiv preprint arXiv:1611.01599, 2016.</w:t>
      </w:r>
    </w:p>
    <w:p w14:paraId="2B88ECF3">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[2] 北京大学智能机器人开放实验室, “基于视听融合的唇语识别研究,” OuluVS数据集相关成果, robotics.pkusz.edu.cn, 访问时间: 2026年4月.</w:t>
      </w:r>
    </w:p>
    <w:p w14:paraId="D8354F1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[3] 华北电力大学, “基于多特征融合的唇语识别模型,” 2025年信号处理与模式识别学术会议（EMT2025）, 2025.</w:t>
      </w:r>
    </w:p>
    <w:p w14:paraId="4CE2356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[4] T. Jin et al., "A deep learning-assisted self-powered flexible sensor system for lip reading," Nature Communications, vol. 13, 2022, doi: 10.1038/s41467-022-28891-8.</w:t>
      </w:r>
    </w:p>
    <w:p w14:paraId="09C539F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[5] 南京大学, “基于超声波感知与知识蒸馏的唇语识别系统,” 国家级大学生创新训练计划项目成果, 2023.</w:t>
      </w:r>
    </w:p>
    <w:p w14:paraId="7EBF2476">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[6] M. Al-Sarayreh et al., "Cross-Attention Fusion of Visual and Geometric Features for Large-Vocabulary Arabic Lipreading," Electronics, vol. 14, no. 1, 2025, doi: 10.3390/electronics14010112.</w:t>
      </w:r>
    </w:p>
    <w:p w14:paraId="4C0085FF">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[7] X. Li et al., "MVIB-Lip: Multi-View Information Bottleneck for Visual Speech Recognition via Time Series Modeling," Entropy, vol. 27, no. 11, 2025, doi: 10.3390/e27111121.</w:t>
      </w:r>
    </w:p>
    <w:p w14:paraId="E5E506D2">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[8] S. Wang et al., "Silent speech recognition using visual cascading fusion of tongue-lip movements based on pre-trained and fine-tuned model," EURASIP Journal on Audio, Speech, and Music Processing, 2025.</w:t>
      </w:r>
    </w:p>
    <w:p w14:paraId="5CD90B3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[9] 智源研究院, 南开大学, “Chinese-LiPS: 中文多模态唇读数据集,” hub.baai.ac.cn, 2025.</w:t>
      </w:r>
    </w:p>
    <w:p w14:paraId="CABCA395">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[10] “AVE Speech: 同步采集音频、唇部图像、面部肌电信号的中文多模态语音数据集,” arxiv.org, 2024.</w:t>
      </w:r>
    </w:p>
    <w:p w14:paraId="16B13677">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[11] Y. Dodis, L. Reyzin, and A. Smith, "Fuzzy Extractors: How to Generate Strong Keys from Biometrics and Other Noisy Data," Eurocrypt 2004.</w:t>
      </w:r>
    </w:p>
    <w:p w14:paraId="FEADF33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[12] Y. M. Cheung, "Lip Password: Double Security System for Identity Authentication," US Patent No. 9,159,321, 2015.</w:t>
      </w:r>
    </w:p>
    <w:p w14:paraId="853441F1">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[13] TERAMIME Inc., "LIPS-Security: A Two-Factor Authentication System Combining Lip Movements with Password Vocalization," 2025.</w:t>
      </w:r>
    </w:p>
    <w:p w14:paraId="AA7BDCF0">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[14] A. Juels and M. Sudan, "A Fuzzy Vault Scheme," Proceedings of IEEE ISIT 2002.</w:t>
      </w:r>
    </w:p>
    <w:p w14:paraId="1913F45C">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[15] “Cancelable Multimodal Template Protection Algorithm Based on Random Index,” IEEE Transactions on Emerging Topics in Computing, 2025.</w:t>
      </w:r>
    </w:p>
    <w:p w14:paraId="9925449B">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[16] “Reusable Fuzzy Extractor from Isogeny-Based Assumptions,” Symmetry, 2025, 17(7), 1065.</w:t>
      </w:r>
    </w:p>
    <w:p w14:paraId="4AF108FE">
      <w:pPr>
        <w:keepNext w:val="0"/>
        <w:keepLines w:val="0"/>
        <w:pageBreakBefore w:val="0"/>
        <w:widowControl w:val="0"/>
        <w:kinsoku/>
        <w:wordWrap/>
        <w:overflowPunct/>
        <w:topLinePunct w:val="0"/>
        <w:autoSpaceDE/>
        <w:autoSpaceDN/>
        <w:bidi w:val="0"/>
        <w:adjustRightInd/>
        <w:snapToGrid/>
        <w:spacing w:line="580" w:lineRule="exact"/>
        <w:ind w:left="0" w:leftChars="0" w:firstLine="640" w:firstLineChars="200"/>
        <w:jc w:val="both"/>
        <w:textAlignment w:val="auto"/>
        <w:rPr>
          <w:rFonts w:ascii="Times New Roman" w:hAnsi="Times New Roman" w:eastAsia="仿宋" w:cs="Times New Roman"/>
          <w:sz w:val="32"/>
          <w:szCs w:val="32"/>
          <w:highlight w:val="none"/>
        </w:rPr>
      </w:pPr>
      <w:r>
        <w:rPr>
          <w:rFonts w:ascii="Times New Roman" w:hAnsi="Times New Roman" w:eastAsia="仿宋" w:cs="Times New Roman"/>
          <w:sz w:val="32"/>
          <w:szCs w:val="32"/>
          <w:highlight w:val="none"/>
        </w:rPr>
        <w:t>[17] “Visual speaker authentication via lip motions: Appearance consistency and semantic disentanglement,” Displays, Volume 92, April 2026, 103288.</w:t>
      </w:r>
    </w:p>
    <w:sectPr>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饶一" w:date="2026-05-11T18:27:52Z" w:initials="">
    <w:p w14:paraId="52ACCEB7">
      <w:pPr>
        <w:pStyle w:val="2"/>
        <w:numPr>
          <w:ilvl w:val="0"/>
          <w:numId w:val="1"/>
        </w:numPr>
        <w:rPr>
          <w:rFonts w:hint="eastAsia"/>
          <w:lang w:val="en-US" w:eastAsia="zh-CN"/>
        </w:rPr>
      </w:pPr>
      <w:r>
        <w:rPr>
          <w:rFonts w:hint="eastAsia"/>
          <w:lang w:val="en-US" w:eastAsia="zh-CN"/>
        </w:rPr>
        <w:t>采集图像</w:t>
      </w:r>
    </w:p>
    <w:p w14:paraId="45731B6E">
      <w:pPr>
        <w:pStyle w:val="2"/>
        <w:numPr>
          <w:ilvl w:val="0"/>
          <w:numId w:val="1"/>
        </w:numPr>
        <w:rPr>
          <w:rFonts w:hint="default"/>
          <w:lang w:val="en-US" w:eastAsia="zh-CN"/>
        </w:rPr>
      </w:pPr>
      <w:r>
        <w:rPr>
          <w:rFonts w:hint="eastAsia"/>
          <w:lang w:val="en-US" w:eastAsia="zh-CN"/>
        </w:rPr>
        <w:t>采集压力传感</w:t>
      </w:r>
    </w:p>
  </w:comment>
  <w:comment w:id="1" w:author="饶一" w:date="2026-05-11T18:28:28Z" w:initials="">
    <w:p w14:paraId="515DC5E5">
      <w:pPr>
        <w:pStyle w:val="2"/>
        <w:numPr>
          <w:ilvl w:val="0"/>
          <w:numId w:val="1"/>
        </w:numPr>
        <w:ind w:left="0" w:leftChars="0" w:firstLine="0" w:firstLineChars="0"/>
        <w:rPr>
          <w:rFonts w:hint="eastAsia"/>
          <w:lang w:val="en-US" w:eastAsia="zh-CN"/>
        </w:rPr>
      </w:pPr>
      <w:r>
        <w:rPr>
          <w:rFonts w:hint="eastAsia"/>
          <w:lang w:val="en-US" w:eastAsia="zh-CN"/>
        </w:rPr>
        <w:t>融合，深度神经网络</w:t>
      </w:r>
    </w:p>
    <w:p w14:paraId="5CC951C8">
      <w:pPr>
        <w:pStyle w:val="2"/>
        <w:numPr>
          <w:ilvl w:val="0"/>
          <w:numId w:val="1"/>
        </w:numPr>
        <w:ind w:left="0" w:leftChars="0" w:firstLine="0" w:firstLineChars="0"/>
        <w:rPr>
          <w:rFonts w:hint="default"/>
          <w:lang w:val="en-US" w:eastAsia="zh-CN"/>
        </w:rPr>
      </w:pPr>
      <w:r>
        <w:rPr>
          <w:rFonts w:hint="eastAsia"/>
          <w:lang w:val="en-US" w:eastAsia="zh-CN"/>
        </w:rPr>
        <w:t>模糊提取器，密码学算法，消除噪点</w:t>
      </w:r>
    </w:p>
    <w:p w14:paraId="409EF116">
      <w:pPr>
        <w:pStyle w:val="2"/>
        <w:numPr>
          <w:ilvl w:val="0"/>
          <w:numId w:val="1"/>
        </w:numPr>
        <w:ind w:left="0" w:leftChars="0" w:firstLine="0" w:firstLineChars="0"/>
        <w:rPr>
          <w:rFonts w:hint="default"/>
          <w:lang w:val="en-US" w:eastAsia="zh-CN"/>
        </w:rPr>
      </w:pPr>
      <w:r>
        <w:rPr>
          <w:rFonts w:hint="eastAsia"/>
          <w:lang w:val="en-US" w:eastAsia="zh-CN"/>
        </w:rPr>
        <w:t>密钥生成</w:t>
      </w:r>
    </w:p>
  </w:comment>
  <w:comment w:id="2" w:author="饶一" w:date="2026-05-11T18:31:15Z" w:initials="">
    <w:p w14:paraId="55111319">
      <w:pPr>
        <w:pStyle w:val="2"/>
        <w:rPr>
          <w:rFonts w:hint="default"/>
          <w:lang w:val="en-US" w:eastAsia="zh-CN"/>
        </w:rPr>
      </w:pPr>
      <w:r>
        <w:rPr>
          <w:rFonts w:hint="eastAsia"/>
          <w:lang w:val="en-US" w:eastAsia="zh-CN"/>
        </w:rPr>
        <w:t>创新点1</w:t>
      </w:r>
    </w:p>
  </w:comment>
  <w:comment w:id="3" w:author="饶一" w:date="2026-05-11T18:31:40Z" w:initials="">
    <w:p w14:paraId="2610136C">
      <w:pPr>
        <w:pStyle w:val="2"/>
        <w:rPr>
          <w:rFonts w:hint="default"/>
          <w:lang w:val="en-US" w:eastAsia="zh-CN"/>
        </w:rPr>
      </w:pPr>
      <w:r>
        <w:rPr>
          <w:rFonts w:hint="eastAsia"/>
          <w:lang w:val="en-US" w:eastAsia="zh-CN"/>
        </w:rPr>
        <w:t>创新点2</w:t>
      </w:r>
    </w:p>
  </w:comment>
  <w:comment w:id="4" w:author="饶一" w:date="2026-05-11T18:26:32Z" w:initials="">
    <w:p w14:paraId="72889037">
      <w:pPr>
        <w:pStyle w:val="2"/>
        <w:rPr>
          <w:rFonts w:hint="eastAsia"/>
          <w:lang w:val="en-US" w:eastAsia="zh-CN"/>
        </w:rPr>
      </w:pPr>
      <w:r>
        <w:rPr>
          <w:rFonts w:hint="eastAsia"/>
          <w:lang w:val="en-US" w:eastAsia="zh-CN"/>
        </w:rPr>
        <w:t>需要用ppt模板</w:t>
      </w:r>
    </w:p>
    <w:p w14:paraId="221DE31F">
      <w:pPr>
        <w:pStyle w:val="2"/>
        <w:rPr>
          <w:rFonts w:hint="default"/>
          <w:lang w:val="en-US" w:eastAsia="zh-CN"/>
        </w:rPr>
      </w:pPr>
    </w:p>
  </w:comment>
  <w:comment w:id="5" w:author="饶一" w:date="2026-05-11T18:27:06Z" w:initials="">
    <w:p w14:paraId="24482CBC">
      <w:pPr>
        <w:pStyle w:val="2"/>
        <w:rPr>
          <w:rFonts w:hint="default"/>
          <w:lang w:val="en-US" w:eastAsia="zh-CN"/>
        </w:rPr>
      </w:pPr>
      <w:r>
        <w:rPr>
          <w:rFonts w:hint="eastAsia"/>
          <w:lang w:val="en-US" w:eastAsia="zh-CN"/>
        </w:rPr>
        <w:t>在4.1插入介绍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5731B6E" w15:done="0"/>
  <w15:commentEx w15:paraId="409EF116" w15:done="0"/>
  <w15:commentEx w15:paraId="55111319" w15:done="0"/>
  <w15:commentEx w15:paraId="2610136C" w15:done="0"/>
  <w15:commentEx w15:paraId="221DE31F" w15:done="0"/>
  <w15:commentEx w15:paraId="24482CB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script"/>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EB1E8">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47A74C">
                          <w:pPr>
                            <w:pStyle w:val="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A47A74C">
                    <w:pPr>
                      <w:pStyle w:val="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45BBE9"/>
    <w:multiLevelType w:val="singleLevel"/>
    <w:tmpl w:val="8445BBE9"/>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饶一">
    <w15:presenceInfo w15:providerId="WPS Office" w15:userId="126219064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6D65D9"/>
    <w:rsid w:val="16EB272A"/>
    <w:rsid w:val="19BC4427"/>
    <w:rsid w:val="37AC3F58"/>
    <w:rsid w:val="37D16521"/>
    <w:rsid w:val="3A037726"/>
    <w:rsid w:val="3CBF66BA"/>
    <w:rsid w:val="3F5B3839"/>
    <w:rsid w:val="44AA7383"/>
    <w:rsid w:val="6D4E5892"/>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uiPriority w:val="99"/>
    <w:pPr>
      <w:jc w:val="left"/>
    </w:pPr>
  </w:style>
  <w:style w:type="paragraph" w:styleId="3">
    <w:name w:val="toc 3"/>
    <w:basedOn w:val="1"/>
    <w:next w:val="1"/>
    <w:semiHidden/>
    <w:unhideWhenUsed/>
    <w:qFormat/>
    <w:uiPriority w:val="39"/>
    <w:pPr>
      <w:ind w:left="840" w:leftChars="400"/>
    </w:p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semiHidden/>
    <w:unhideWhenUsed/>
    <w:qFormat/>
    <w:uiPriority w:val="39"/>
  </w:style>
  <w:style w:type="paragraph" w:styleId="7">
    <w:name w:val="toc 2"/>
    <w:basedOn w:val="1"/>
    <w:next w:val="1"/>
    <w:semiHidden/>
    <w:unhideWhenUsed/>
    <w:uiPriority w:val="39"/>
    <w:pPr>
      <w:ind w:left="420" w:leftChars="200"/>
    </w:pPr>
  </w:style>
  <w:style w:type="paragraph" w:customStyle="1" w:styleId="10">
    <w:name w:val="分类号"/>
    <w:basedOn w:val="1"/>
    <w:qFormat/>
    <w:uiPriority w:val="0"/>
    <w:rPr>
      <w:rFonts w:ascii="仿宋_GB2312" w:hAnsi="Times New Roman" w:eastAsia="仿宋_GB2312" w:cs="Times New Roman"/>
      <w:sz w:val="28"/>
      <w:szCs w:val="28"/>
    </w:rPr>
  </w:style>
  <w:style w:type="paragraph" w:customStyle="1" w:styleId="11">
    <w:name w:val="封面日期"/>
    <w:basedOn w:val="1"/>
    <w:qFormat/>
    <w:uiPriority w:val="0"/>
    <w:pPr>
      <w:jc w:val="center"/>
    </w:pPr>
    <w:rPr>
      <w:rFonts w:ascii="黑体" w:hAnsi="Times New Roman" w:eastAsia="黑体" w:cs="Times New Roman"/>
      <w:sz w:val="32"/>
      <w:szCs w:val="32"/>
    </w:rPr>
  </w:style>
  <w:style w:type="paragraph" w:customStyle="1" w:styleId="12">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13">
    <w:name w:val="硕士学位论文"/>
    <w:basedOn w:val="1"/>
    <w:qFormat/>
    <w:uiPriority w:val="0"/>
    <w:pPr>
      <w:spacing w:before="240"/>
      <w:jc w:val="center"/>
    </w:pPr>
    <w:rPr>
      <w:rFonts w:ascii="Times New Roman" w:hAnsi="Times New Roman" w:cs="Times New Roman"/>
      <w:sz w:val="44"/>
      <w:szCs w:val="44"/>
    </w:rPr>
  </w:style>
  <w:style w:type="paragraph" w:customStyle="1" w:styleId="14">
    <w:name w:val="研究生姓名"/>
    <w:basedOn w:val="1"/>
    <w:qFormat/>
    <w:uiPriority w:val="0"/>
    <w:pPr>
      <w:ind w:firstLine="700" w:firstLineChars="700"/>
    </w:pPr>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9048</Words>
  <Characters>11259</Characters>
  <Paragraphs>385</Paragraphs>
  <TotalTime>867</TotalTime>
  <ScaleCrop>false</ScaleCrop>
  <LinksUpToDate>false</LinksUpToDate>
  <CharactersWithSpaces>11750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2026-05-01T04:31:00Z</dcterms:created>
  <dc:creator>V2419A</dc:creator>
  <cp:lastModifiedBy>饶一</cp:lastModifiedBy>
  <dcterms:modified xsi:type="dcterms:W3CDTF">2026-05-12T00:55:18Z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217684EEF9FF468DB8DAD925E386912F_13</vt:lpwstr>
  </property>
  <property fmtid="{D5CDD505-2E9C-101B-9397-08002B2CF9AE}" pid="3" name="KSOTemplateDocerSaveRecord">
    <vt:lpwstr>eyJoZGlkIjoiYzBkOWI4ZTYxMWZhMjU3M2M3ZDA4ZjY5NmE3ZTE3ZDMiLCJ1c2VySWQiOiIxNzE1OTI4Mzk4In0=</vt:lpwstr>
  </property>
  <property fmtid="{D5CDD505-2E9C-101B-9397-08002B2CF9AE}" pid="4" name="KSOProductBuildVer">
    <vt:lpwstr>2052-12.1.0.25225</vt:lpwstr>
  </property>
</Properties>
</file>