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7EE" w:rsidRDefault="003577EE" w:rsidP="003577E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rsidR="003577EE" w:rsidRDefault="003577EE" w:rsidP="003577EE">
      <w:pPr>
        <w:spacing w:line="48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In our paper, we adopted the Least Squares (LS) paradigm in </w:t>
      </w:r>
      <w:proofErr w:type="spellStart"/>
      <w:r>
        <w:rPr>
          <w:rFonts w:ascii="Times New Roman" w:eastAsia="Times New Roman" w:hAnsi="Times New Roman" w:cs="Times New Roman"/>
          <w:sz w:val="24"/>
          <w:szCs w:val="24"/>
        </w:rPr>
        <w:t>Visscher</w:t>
      </w:r>
      <w:proofErr w:type="spellEnd"/>
      <w:r>
        <w:rPr>
          <w:rFonts w:ascii="Times New Roman" w:eastAsia="Times New Roman" w:hAnsi="Times New Roman" w:cs="Times New Roman"/>
          <w:sz w:val="24"/>
          <w:szCs w:val="24"/>
        </w:rPr>
        <w:t xml:space="preserve"> (2004) to derive the algebraic association among statistical power to detect A, the genetic relatedness of same-sex twins (H</w:t>
      </w:r>
      <w:r>
        <w:rPr>
          <w:rFonts w:ascii="Times New Roman" w:eastAsia="Times New Roman" w:hAnsi="Times New Roman" w:cs="Times New Roman"/>
          <w:sz w:val="24"/>
          <w:szCs w:val="24"/>
          <w:vertAlign w:val="subscript"/>
        </w:rPr>
        <w:t>SS</w:t>
      </w:r>
      <w:r>
        <w:rPr>
          <w:rFonts w:ascii="Times New Roman" w:eastAsia="Times New Roman" w:hAnsi="Times New Roman" w:cs="Times New Roman"/>
          <w:sz w:val="24"/>
          <w:szCs w:val="24"/>
        </w:rPr>
        <w:t>) and the number of pairs of twins (n).  </w:t>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characterize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kin and the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kin in a kin pair as two random blocks of random effects, n pairs of kin can be treated as a one-way random effects design. Based on the ANOVA table of one-way random effects design proposed by </w:t>
      </w:r>
      <w:proofErr w:type="spellStart"/>
      <w:r>
        <w:rPr>
          <w:rFonts w:ascii="Times New Roman" w:eastAsia="Times New Roman" w:hAnsi="Times New Roman" w:cs="Times New Roman"/>
          <w:sz w:val="24"/>
          <w:szCs w:val="24"/>
        </w:rPr>
        <w:t>Shrout</w:t>
      </w:r>
      <w:proofErr w:type="spellEnd"/>
      <w:r>
        <w:rPr>
          <w:rFonts w:ascii="Times New Roman" w:eastAsia="Times New Roman" w:hAnsi="Times New Roman" w:cs="Times New Roman"/>
          <w:sz w:val="24"/>
          <w:szCs w:val="24"/>
        </w:rPr>
        <w:t xml:space="preserve"> and Fleiss (1979), we can easily derive the between-pair (B) and within-pair (W) observed mean squares (MS) table for either n pairs of SS twins or OS twins</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3577EE" w:rsidTr="00314379">
        <w:tc>
          <w:tcPr>
            <w:tcW w:w="2337" w:type="dxa"/>
            <w:vAlign w:val="center"/>
          </w:tcPr>
          <w:p w:rsidR="003577EE" w:rsidRDefault="003577EE" w:rsidP="00314379">
            <w:pPr>
              <w:spacing w:line="360" w:lineRule="auto"/>
              <w:jc w:val="center"/>
              <w:rPr>
                <w:rFonts w:ascii="Times New Roman" w:eastAsia="Times New Roman" w:hAnsi="Times New Roman" w:cs="Times New Roman"/>
                <w:sz w:val="24"/>
                <w:szCs w:val="24"/>
              </w:rPr>
            </w:pPr>
          </w:p>
        </w:tc>
        <w:tc>
          <w:tcPr>
            <w:tcW w:w="2337" w:type="dxa"/>
            <w:vAlign w:val="center"/>
          </w:tcPr>
          <w:p w:rsidR="003577EE" w:rsidRDefault="003577EE" w:rsidP="00314379">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p>
        </w:tc>
        <w:tc>
          <w:tcPr>
            <w:tcW w:w="2338"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c>
          <w:tcPr>
            <w:tcW w:w="2338"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r>
      <w:tr w:rsidR="003577EE" w:rsidTr="00314379">
        <w:tc>
          <w:tcPr>
            <w:tcW w:w="2337"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Between pairs</w:t>
            </w:r>
          </w:p>
        </w:tc>
        <w:tc>
          <w:tcPr>
            <w:tcW w:w="2337"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n-1</w:t>
            </w:r>
          </w:p>
        </w:tc>
        <w:tc>
          <w:tcPr>
            <w:tcW w:w="2338"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338" w:type="dxa"/>
            <w:vAlign w:val="center"/>
          </w:tcPr>
          <w:p w:rsidR="003577EE" w:rsidRDefault="003577EE" w:rsidP="0031437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2</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σ</m:t>
                    </m:r>
                  </m:e>
                  <m:sub>
                    <m:r>
                      <w:rPr>
                        <w:rFonts w:ascii="Cambria Math" w:eastAsia="Cambria Math" w:hAnsi="Cambria Math" w:cs="Cambria Math"/>
                        <w:sz w:val="24"/>
                        <w:szCs w:val="24"/>
                      </w:rPr>
                      <m:t>b</m:t>
                    </m:r>
                  </m:sub>
                  <m:sup>
                    <m:r>
                      <w:rPr>
                        <w:rFonts w:ascii="Cambria Math" w:eastAsia="Cambria Math" w:hAnsi="Cambria Math" w:cs="Cambria Math"/>
                        <w:sz w:val="24"/>
                        <w:szCs w:val="24"/>
                      </w:rPr>
                      <m:t>2</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σ</m:t>
                    </m:r>
                  </m:e>
                  <m:sub>
                    <m:r>
                      <w:rPr>
                        <w:rFonts w:ascii="Cambria Math" w:eastAsia="Cambria Math" w:hAnsi="Cambria Math" w:cs="Cambria Math"/>
                        <w:sz w:val="24"/>
                        <w:szCs w:val="24"/>
                      </w:rPr>
                      <m:t>w</m:t>
                    </m:r>
                  </m:sub>
                  <m:sup>
                    <m:r>
                      <w:rPr>
                        <w:rFonts w:ascii="Cambria Math" w:eastAsia="Cambria Math" w:hAnsi="Cambria Math" w:cs="Cambria Math"/>
                        <w:sz w:val="24"/>
                        <w:szCs w:val="24"/>
                      </w:rPr>
                      <m:t>2</m:t>
                    </m:r>
                  </m:sup>
                </m:sSubSup>
              </m:oMath>
            </m:oMathPara>
          </w:p>
        </w:tc>
      </w:tr>
      <w:tr w:rsidR="003577EE" w:rsidTr="00314379">
        <w:tc>
          <w:tcPr>
            <w:tcW w:w="2337"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Within pair</w:t>
            </w:r>
          </w:p>
        </w:tc>
        <w:tc>
          <w:tcPr>
            <w:tcW w:w="2337"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338"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
        </w:tc>
        <w:tc>
          <w:tcPr>
            <w:tcW w:w="2338" w:type="dxa"/>
            <w:vAlign w:val="center"/>
          </w:tcPr>
          <w:p w:rsidR="003577EE" w:rsidRDefault="00944B98" w:rsidP="00314379">
            <w:pPr>
              <w:jc w:val="center"/>
              <w:rPr>
                <w:rFonts w:ascii="Cambria Math" w:eastAsia="Cambria Math" w:hAnsi="Cambria Math" w:cs="Cambria Math"/>
                <w:sz w:val="24"/>
                <w:szCs w:val="24"/>
              </w:rPr>
            </w:pPr>
            <m:oMathPara>
              <m:oMath>
                <m:sSubSup>
                  <m:sSubSupPr>
                    <m:ctrlPr>
                      <w:rPr>
                        <w:rFonts w:ascii="Cambria Math" w:eastAsia="Cambria Math" w:hAnsi="Cambria Math" w:cs="Cambria Math"/>
                        <w:sz w:val="24"/>
                        <w:szCs w:val="24"/>
                      </w:rPr>
                    </m:ctrlPr>
                  </m:sSubSupPr>
                  <m:e>
                    <m:r>
                      <w:rPr>
                        <w:rFonts w:ascii="Cambria Math" w:hAnsi="Cambria Math"/>
                      </w:rPr>
                      <m:t>σ</m:t>
                    </m:r>
                  </m:e>
                  <m:sub>
                    <m:r>
                      <w:rPr>
                        <w:rFonts w:ascii="Cambria Math" w:eastAsia="Cambria Math" w:hAnsi="Cambria Math" w:cs="Cambria Math"/>
                        <w:sz w:val="24"/>
                        <w:szCs w:val="24"/>
                      </w:rPr>
                      <m:t>w</m:t>
                    </m:r>
                  </m:sub>
                  <m:sup>
                    <m:r>
                      <w:rPr>
                        <w:rFonts w:ascii="Cambria Math" w:eastAsia="Cambria Math" w:hAnsi="Cambria Math" w:cs="Cambria Math"/>
                        <w:sz w:val="24"/>
                        <w:szCs w:val="24"/>
                      </w:rPr>
                      <m:t>2</m:t>
                    </m:r>
                  </m:sup>
                </m:sSubSup>
              </m:oMath>
            </m:oMathPara>
          </w:p>
        </w:tc>
      </w:tr>
    </w:tbl>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decomposing the variance into heritability (</w:t>
      </w:r>
      <w:r>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and common environmental impact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based on the structure of the ACE model</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1870"/>
        <w:gridCol w:w="1635"/>
        <w:gridCol w:w="1800"/>
        <w:gridCol w:w="2070"/>
        <w:gridCol w:w="1975"/>
      </w:tblGrid>
      <w:tr w:rsidR="003577EE" w:rsidTr="00314379">
        <w:tc>
          <w:tcPr>
            <w:tcW w:w="1870" w:type="dxa"/>
          </w:tcPr>
          <w:p w:rsidR="003577EE" w:rsidRDefault="003577EE" w:rsidP="00314379">
            <w:pPr>
              <w:spacing w:line="360" w:lineRule="auto"/>
              <w:rPr>
                <w:rFonts w:ascii="Times New Roman" w:eastAsia="Times New Roman" w:hAnsi="Times New Roman" w:cs="Times New Roman"/>
                <w:sz w:val="24"/>
                <w:szCs w:val="24"/>
              </w:rPr>
            </w:pPr>
          </w:p>
        </w:tc>
        <w:tc>
          <w:tcPr>
            <w:tcW w:w="1635" w:type="dxa"/>
          </w:tcPr>
          <w:p w:rsidR="003577EE" w:rsidRDefault="00944B98" w:rsidP="00314379">
            <w:pPr>
              <w:jc w:val="center"/>
              <w:rPr>
                <w:rFonts w:ascii="Cambria Math" w:eastAsia="Cambria Math" w:hAnsi="Cambria Math" w:cs="Cambria Math"/>
                <w:sz w:val="24"/>
                <w:szCs w:val="24"/>
              </w:rPr>
            </w:pPr>
            <m:oMathPara>
              <m:oMath>
                <m:sSubSup>
                  <m:sSubSupPr>
                    <m:ctrlPr>
                      <w:rPr>
                        <w:rFonts w:ascii="Cambria Math" w:eastAsia="Cambria Math" w:hAnsi="Cambria Math" w:cs="Cambria Math"/>
                        <w:sz w:val="24"/>
                        <w:szCs w:val="24"/>
                      </w:rPr>
                    </m:ctrlPr>
                  </m:sSubSupPr>
                  <m:e>
                    <m:r>
                      <w:rPr>
                        <w:rFonts w:ascii="Cambria Math" w:hAnsi="Cambria Math"/>
                      </w:rPr>
                      <m:t>σ</m:t>
                    </m:r>
                  </m:e>
                  <m:sub>
                    <m:r>
                      <w:rPr>
                        <w:rFonts w:ascii="Cambria Math" w:eastAsia="Cambria Math" w:hAnsi="Cambria Math" w:cs="Cambria Math"/>
                        <w:sz w:val="24"/>
                        <w:szCs w:val="24"/>
                      </w:rPr>
                      <m:t>b</m:t>
                    </m:r>
                  </m:sub>
                  <m:sup>
                    <m:r>
                      <w:rPr>
                        <w:rFonts w:ascii="Cambria Math" w:eastAsia="Cambria Math" w:hAnsi="Cambria Math" w:cs="Cambria Math"/>
                        <w:sz w:val="24"/>
                        <w:szCs w:val="24"/>
                      </w:rPr>
                      <m:t>2</m:t>
                    </m:r>
                  </m:sup>
                </m:sSubSup>
              </m:oMath>
            </m:oMathPara>
          </w:p>
        </w:tc>
        <w:tc>
          <w:tcPr>
            <w:tcW w:w="1800" w:type="dxa"/>
          </w:tcPr>
          <w:p w:rsidR="003577EE" w:rsidRDefault="00944B98" w:rsidP="00314379">
            <w:pPr>
              <w:jc w:val="center"/>
              <w:rPr>
                <w:rFonts w:ascii="Cambria Math" w:eastAsia="Cambria Math" w:hAnsi="Cambria Math" w:cs="Cambria Math"/>
                <w:sz w:val="24"/>
                <w:szCs w:val="24"/>
              </w:rPr>
            </w:pPr>
            <m:oMathPara>
              <m:oMath>
                <m:sSubSup>
                  <m:sSubSupPr>
                    <m:ctrlPr>
                      <w:rPr>
                        <w:rFonts w:ascii="Cambria Math" w:eastAsia="Cambria Math" w:hAnsi="Cambria Math" w:cs="Cambria Math"/>
                        <w:sz w:val="24"/>
                        <w:szCs w:val="24"/>
                      </w:rPr>
                    </m:ctrlPr>
                  </m:sSubSupPr>
                  <m:e>
                    <m:r>
                      <w:rPr>
                        <w:rFonts w:ascii="Cambria Math" w:hAnsi="Cambria Math"/>
                      </w:rPr>
                      <m:t>σ</m:t>
                    </m:r>
                  </m:e>
                  <m:sub>
                    <m:r>
                      <w:rPr>
                        <w:rFonts w:ascii="Cambria Math" w:eastAsia="Cambria Math" w:hAnsi="Cambria Math" w:cs="Cambria Math"/>
                        <w:sz w:val="24"/>
                        <w:szCs w:val="24"/>
                      </w:rPr>
                      <m:t>w</m:t>
                    </m:r>
                  </m:sub>
                  <m:sup>
                    <m:r>
                      <w:rPr>
                        <w:rFonts w:ascii="Cambria Math" w:eastAsia="Cambria Math" w:hAnsi="Cambria Math" w:cs="Cambria Math"/>
                        <w:sz w:val="24"/>
                        <w:szCs w:val="24"/>
                      </w:rPr>
                      <m:t>2</m:t>
                    </m:r>
                  </m:sup>
                </m:sSubSup>
              </m:oMath>
            </m:oMathPara>
          </w:p>
        </w:tc>
        <w:tc>
          <w:tcPr>
            <w:tcW w:w="2070"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E(B)</w:t>
            </w:r>
          </w:p>
        </w:tc>
        <w:tc>
          <w:tcPr>
            <w:tcW w:w="1975"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w:t>
            </w:r>
          </w:p>
        </w:tc>
      </w:tr>
      <w:tr w:rsidR="003577EE" w:rsidTr="00314379">
        <w:tc>
          <w:tcPr>
            <w:tcW w:w="1870"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SS pairs</w:t>
            </w:r>
          </w:p>
        </w:tc>
        <w:tc>
          <w:tcPr>
            <w:tcW w:w="1635" w:type="dxa"/>
            <w:vAlign w:val="center"/>
          </w:tcPr>
          <w:p w:rsidR="003577EE" w:rsidRDefault="00944B98" w:rsidP="00314379">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oMath>
            </m:oMathPara>
          </w:p>
        </w:tc>
        <w:tc>
          <w:tcPr>
            <w:tcW w:w="1800" w:type="dxa"/>
            <w:vAlign w:val="center"/>
          </w:tcPr>
          <w:p w:rsidR="003577EE" w:rsidRDefault="003577EE" w:rsidP="0031437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oMath>
            </m:oMathPara>
          </w:p>
        </w:tc>
        <w:tc>
          <w:tcPr>
            <w:tcW w:w="2070" w:type="dxa"/>
          </w:tcPr>
          <w:p w:rsidR="003577EE" w:rsidRDefault="003577EE" w:rsidP="00314379">
            <w:pPr>
              <w:spacing w:line="360" w:lineRule="auto"/>
              <w:rPr>
                <w:rFonts w:ascii="Times New Roman" w:eastAsia="Times New Roman" w:hAnsi="Times New Roman" w:cs="Times New Roman"/>
                <w:sz w:val="24"/>
                <w:szCs w:val="24"/>
              </w:rPr>
            </w:pPr>
            <m:oMath>
              <m:r>
                <w:rPr>
                  <w:rFonts w:ascii="Cambria Math" w:eastAsia="Cambria Math" w:hAnsi="Cambria Math" w:cs="Cambria Math"/>
                  <w:sz w:val="24"/>
                  <w:szCs w:val="24"/>
                </w:rPr>
                <m:t>2</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oMath>
            <w:r>
              <w:rPr>
                <w:rFonts w:ascii="Times New Roman" w:eastAsia="Times New Roman" w:hAnsi="Times New Roman" w:cs="Times New Roman"/>
                <w:sz w:val="24"/>
                <w:szCs w:val="24"/>
              </w:rPr>
              <w:t xml:space="preserve"> </w:t>
            </w:r>
          </w:p>
        </w:tc>
        <w:tc>
          <w:tcPr>
            <w:tcW w:w="1975" w:type="dxa"/>
            <w:vAlign w:val="center"/>
          </w:tcPr>
          <w:p w:rsidR="003577EE" w:rsidRDefault="00944B98" w:rsidP="00314379">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oMath>
            </m:oMathPara>
          </w:p>
        </w:tc>
      </w:tr>
      <w:tr w:rsidR="003577EE" w:rsidTr="00314379">
        <w:tc>
          <w:tcPr>
            <w:tcW w:w="1870" w:type="dxa"/>
            <w:vAlign w:val="center"/>
          </w:tcPr>
          <w:p w:rsidR="003577EE" w:rsidRDefault="003577EE" w:rsidP="003143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OS pairs</w:t>
            </w:r>
          </w:p>
        </w:tc>
        <w:tc>
          <w:tcPr>
            <w:tcW w:w="1635" w:type="dxa"/>
            <w:vAlign w:val="center"/>
          </w:tcPr>
          <w:p w:rsidR="003577EE" w:rsidRDefault="00944B98" w:rsidP="00314379">
            <w:pPr>
              <w:jc w:val="center"/>
              <w:rPr>
                <w:rFonts w:ascii="Cambria Math" w:eastAsia="Cambria Math" w:hAnsi="Cambria Math" w:cs="Cambria Math"/>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oMath>
            </m:oMathPara>
          </w:p>
        </w:tc>
        <w:tc>
          <w:tcPr>
            <w:tcW w:w="1800" w:type="dxa"/>
            <w:vAlign w:val="center"/>
          </w:tcPr>
          <w:p w:rsidR="003577EE" w:rsidRDefault="003577EE" w:rsidP="00314379">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oMath>
            </m:oMathPara>
          </w:p>
        </w:tc>
        <w:tc>
          <w:tcPr>
            <w:tcW w:w="2070" w:type="dxa"/>
          </w:tcPr>
          <w:p w:rsidR="003577EE" w:rsidRDefault="003577EE" w:rsidP="00314379">
            <w:pPr>
              <w:spacing w:line="360" w:lineRule="auto"/>
              <w:rPr>
                <w:rFonts w:ascii="Times New Roman" w:eastAsia="Times New Roman" w:hAnsi="Times New Roman" w:cs="Times New Roman"/>
                <w:sz w:val="24"/>
                <w:szCs w:val="24"/>
              </w:rPr>
            </w:pPr>
            <m:oMath>
              <m:r>
                <w:rPr>
                  <w:rFonts w:ascii="Cambria Math" w:eastAsia="Cambria Math" w:hAnsi="Cambria Math" w:cs="Cambria Math"/>
                  <w:sz w:val="24"/>
                  <w:szCs w:val="24"/>
                </w:rPr>
                <m:t>2</m:t>
              </m:r>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oMath>
            <w:r>
              <w:rPr>
                <w:rFonts w:ascii="Times New Roman" w:eastAsia="Times New Roman" w:hAnsi="Times New Roman" w:cs="Times New Roman"/>
                <w:sz w:val="24"/>
                <w:szCs w:val="24"/>
              </w:rPr>
              <w:t xml:space="preserve"> </w:t>
            </w:r>
          </w:p>
        </w:tc>
        <w:tc>
          <w:tcPr>
            <w:tcW w:w="1975" w:type="dxa"/>
            <w:vAlign w:val="center"/>
          </w:tcPr>
          <w:p w:rsidR="003577EE" w:rsidRDefault="00944B98" w:rsidP="00314379">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oMath>
            </m:oMathPara>
          </w:p>
        </w:tc>
      </w:tr>
    </w:tbl>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bscript"/>
        </w:rPr>
        <w:t>SS</w:t>
      </w:r>
      <w:r>
        <w:rPr>
          <w:rFonts w:ascii="Times New Roman" w:eastAsia="Times New Roman" w:hAnsi="Times New Roman" w:cs="Times New Roman"/>
          <w:sz w:val="24"/>
          <w:szCs w:val="24"/>
        </w:rPr>
        <w:t xml:space="preserve"> is the expected genetic relatedness of SS twins.</w:t>
      </w:r>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intraclass</w:t>
      </w:r>
      <w:proofErr w:type="spellEnd"/>
      <w:r>
        <w:rPr>
          <w:rFonts w:ascii="Times New Roman" w:eastAsia="Times New Roman" w:hAnsi="Times New Roman" w:cs="Times New Roman"/>
          <w:sz w:val="24"/>
          <w:szCs w:val="24"/>
        </w:rPr>
        <w:t xml:space="preserve"> correlation is calculated based </w:t>
      </w:r>
      <w:proofErr w:type="gramStart"/>
      <w:r>
        <w:rPr>
          <w:rFonts w:ascii="Times New Roman" w:eastAsia="Times New Roman" w:hAnsi="Times New Roman" w:cs="Times New Roman"/>
          <w:sz w:val="24"/>
          <w:szCs w:val="24"/>
        </w:rPr>
        <w:t xml:space="preserve">on </w:t>
      </w:r>
      <w:proofErr w:type="gramEnd"/>
      <m:oMath>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t</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σ</m:t>
                </m:r>
              </m:e>
              <m:sub>
                <m:r>
                  <w:rPr>
                    <w:rFonts w:ascii="Cambria Math" w:eastAsia="Cambria Math" w:hAnsi="Cambria Math" w:cs="Cambria Math"/>
                    <w:sz w:val="24"/>
                    <w:szCs w:val="24"/>
                  </w:rPr>
                  <m:t>b</m:t>
                </m:r>
              </m:sub>
              <m:sup>
                <m:r>
                  <w:rPr>
                    <w:rFonts w:ascii="Cambria Math" w:eastAsia="Cambria Math" w:hAnsi="Cambria Math" w:cs="Cambria Math"/>
                    <w:sz w:val="24"/>
                    <w:szCs w:val="24"/>
                  </w:rPr>
                  <m:t>2</m:t>
                </m:r>
              </m:sup>
            </m:sSubSup>
          </m:num>
          <m:den>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σ</m:t>
                </m:r>
              </m:e>
              <m:sub>
                <m:r>
                  <w:rPr>
                    <w:rFonts w:ascii="Cambria Math" w:eastAsia="Cambria Math" w:hAnsi="Cambria Math" w:cs="Cambria Math"/>
                    <w:sz w:val="24"/>
                    <w:szCs w:val="24"/>
                  </w:rPr>
                  <m:t>b</m:t>
                </m:r>
              </m:sub>
              <m:sup>
                <m:r>
                  <w:rPr>
                    <w:rFonts w:ascii="Cambria Math" w:eastAsia="Cambria Math" w:hAnsi="Cambria Math" w:cs="Cambria Math"/>
                    <w:sz w:val="24"/>
                    <w:szCs w:val="24"/>
                  </w:rPr>
                  <m:t>2</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σ</m:t>
                </m:r>
              </m:e>
              <m:sub>
                <m:r>
                  <w:rPr>
                    <w:rFonts w:ascii="Cambria Math" w:eastAsia="Cambria Math" w:hAnsi="Cambria Math" w:cs="Cambria Math"/>
                    <w:sz w:val="24"/>
                    <w:szCs w:val="24"/>
                  </w:rPr>
                  <m:t>w</m:t>
                </m:r>
              </m:sub>
              <m:sup>
                <m:r>
                  <w:rPr>
                    <w:rFonts w:ascii="Cambria Math" w:eastAsia="Cambria Math" w:hAnsi="Cambria Math" w:cs="Cambria Math"/>
                    <w:sz w:val="24"/>
                    <w:szCs w:val="24"/>
                  </w:rPr>
                  <m:t>2</m:t>
                </m:r>
              </m:sup>
            </m:sSubSup>
          </m:den>
        </m:f>
      </m:oMath>
      <w:r>
        <w:rPr>
          <w:rFonts w:ascii="Times New Roman" w:eastAsia="Times New Roman" w:hAnsi="Times New Roman" w:cs="Times New Roman"/>
          <w:sz w:val="24"/>
          <w:szCs w:val="24"/>
        </w:rPr>
        <w:t xml:space="preserve">. Combined with the ANOVA table above, for both SS twins and OS twins we can </w:t>
      </w:r>
      <w:proofErr w:type="gramStart"/>
      <w:r>
        <w:rPr>
          <w:rFonts w:ascii="Times New Roman" w:eastAsia="Times New Roman" w:hAnsi="Times New Roman" w:cs="Times New Roman"/>
          <w:sz w:val="24"/>
          <w:szCs w:val="24"/>
        </w:rPr>
        <w:t xml:space="preserve">derive </w:t>
      </w:r>
      <w:proofErr w:type="gramEnd"/>
      <m:oMath>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t</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B-W</m:t>
            </m:r>
          </m:num>
          <m:den>
            <m:r>
              <w:rPr>
                <w:rFonts w:ascii="Cambria Math" w:eastAsia="Cambria Math" w:hAnsi="Cambria Math" w:cs="Cambria Math"/>
                <w:sz w:val="24"/>
                <w:szCs w:val="24"/>
              </w:rPr>
              <m:t>B+W</m:t>
            </m:r>
          </m:den>
        </m:f>
      </m:oMath>
      <w:r>
        <w:rPr>
          <w:rFonts w:ascii="Times New Roman" w:eastAsia="Times New Roman" w:hAnsi="Times New Roman" w:cs="Times New Roman"/>
          <w:sz w:val="24"/>
          <w:szCs w:val="24"/>
        </w:rPr>
        <w:t xml:space="preserve">. Visscher </w:t>
      </w:r>
      <w:hyperlink r:id="rId4">
        <w:r>
          <w:rPr>
            <w:rFonts w:ascii="Times New Roman" w:eastAsia="Times New Roman" w:hAnsi="Times New Roman" w:cs="Times New Roman"/>
            <w:sz w:val="24"/>
            <w:szCs w:val="24"/>
          </w:rPr>
          <w:t>(1998</w:t>
        </w:r>
        <w:proofErr w:type="gramStart"/>
        <w:r>
          <w:rPr>
            <w:rFonts w:ascii="Times New Roman" w:eastAsia="Times New Roman" w:hAnsi="Times New Roman" w:cs="Times New Roman"/>
            <w:sz w:val="24"/>
            <w:szCs w:val="24"/>
          </w:rPr>
          <w:t>)</w:t>
        </w:r>
        <w:proofErr w:type="gramEnd"/>
      </w:hyperlink>
      <w:r>
        <w:rPr>
          <w:rFonts w:ascii="Times New Roman" w:eastAsia="Times New Roman" w:hAnsi="Times New Roman" w:cs="Times New Roman"/>
          <w:sz w:val="24"/>
          <w:szCs w:val="24"/>
        </w:rPr>
        <w:t xml:space="preserve">applied a first-order Taylor-series expansion on the expected mean squared to derive the equations to calculate variance of the </w:t>
      </w:r>
      <w:proofErr w:type="spellStart"/>
      <w:r>
        <w:rPr>
          <w:rFonts w:ascii="Times New Roman" w:eastAsia="Times New Roman" w:hAnsi="Times New Roman" w:cs="Times New Roman"/>
          <w:sz w:val="24"/>
          <w:szCs w:val="24"/>
        </w:rPr>
        <w:t>intraclass</w:t>
      </w:r>
      <w:proofErr w:type="spellEnd"/>
      <w:r>
        <w:rPr>
          <w:rFonts w:ascii="Times New Roman" w:eastAsia="Times New Roman" w:hAnsi="Times New Roman" w:cs="Times New Roman"/>
          <w:sz w:val="24"/>
          <w:szCs w:val="24"/>
        </w:rPr>
        <w:t xml:space="preserve"> correlations</w:t>
      </w:r>
    </w:p>
    <w:p w:rsidR="003577EE" w:rsidRDefault="003577EE" w:rsidP="003577EE">
      <w:pPr>
        <w:spacing w:after="160" w:line="259" w:lineRule="auto"/>
        <w:rPr>
          <w:rFonts w:ascii="Cambria Math" w:eastAsia="Cambria Math" w:hAnsi="Cambria Math" w:cs="Cambria Math"/>
          <w:sz w:val="24"/>
          <w:szCs w:val="24"/>
        </w:rPr>
      </w:pPr>
      <m:oMathPara>
        <m:oMath>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t</m:t>
                  </m:r>
                </m:e>
              </m:acc>
            </m:e>
          </m:d>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1-t</m:t>
                  </m:r>
                </m:e>
              </m:d>
            </m:e>
            <m:sup>
              <m:r>
                <w:rPr>
                  <w:rFonts w:ascii="Cambria Math" w:eastAsia="Cambria Math" w:hAnsi="Cambria Math" w:cs="Cambria Math"/>
                  <w:sz w:val="24"/>
                  <w:szCs w:val="24"/>
                </w:rPr>
                <m:t>2</m:t>
              </m:r>
            </m:sup>
          </m:s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1+t</m:t>
                  </m:r>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t</m:t>
                          </m:r>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num>
            <m:den>
              <m:r>
                <w:rPr>
                  <w:rFonts w:ascii="Cambria Math" w:eastAsia="Cambria Math" w:hAnsi="Cambria Math" w:cs="Cambria Math"/>
                  <w:sz w:val="24"/>
                  <w:szCs w:val="24"/>
                </w:rPr>
                <m:t>n</m:t>
              </m:r>
            </m:den>
          </m:f>
        </m:oMath>
      </m:oMathPara>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our circumstance using SS twins and OS twins, the heritability is estimated via</w:t>
      </w:r>
    </w:p>
    <w:p w:rsidR="003577EE" w:rsidRDefault="00944B98" w:rsidP="003577EE">
      <w:pPr>
        <w:spacing w:after="160" w:line="259" w:lineRule="auto"/>
        <w:rPr>
          <w:rFonts w:ascii="Cambria Math" w:eastAsia="Cambria Math" w:hAnsi="Cambria Math" w:cs="Cambria Math"/>
          <w:sz w:val="24"/>
          <w:szCs w:val="24"/>
        </w:rPr>
      </w:pPr>
      <m:oMathPara>
        <m:oMath>
          <m:sSup>
            <m:sSupPr>
              <m:ctrlPr>
                <w:rPr>
                  <w:rFonts w:ascii="Cambria Math" w:eastAsia="Cambria Math" w:hAnsi="Cambria Math" w:cs="Cambria Math"/>
                  <w:sz w:val="24"/>
                  <w:szCs w:val="24"/>
                </w:rPr>
              </m:ctrlPr>
            </m:sSup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a</m:t>
                  </m:r>
                </m:e>
              </m:acc>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r>
                <w:rPr>
                  <w:rFonts w:ascii="Cambria Math" w:eastAsia="Cambria Math" w:hAnsi="Cambria Math" w:cs="Cambria Math"/>
                  <w:sz w:val="24"/>
                  <w:szCs w:val="24"/>
                </w:rPr>
                <m:t>-.5</m:t>
              </m:r>
            </m:den>
          </m:f>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t</m:t>
                      </m:r>
                    </m:e>
                  </m:acc>
                </m:e>
                <m:sub>
                  <m:r>
                    <w:rPr>
                      <w:rFonts w:ascii="Cambria Math" w:eastAsia="Cambria Math" w:hAnsi="Cambria Math" w:cs="Cambria Math"/>
                      <w:sz w:val="24"/>
                      <w:szCs w:val="24"/>
                    </w:rPr>
                    <m:t>SS</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t</m:t>
                      </m:r>
                    </m:e>
                  </m:acc>
                </m:e>
                <m:sub>
                  <m:r>
                    <w:rPr>
                      <w:rFonts w:ascii="Cambria Math" w:eastAsia="Cambria Math" w:hAnsi="Cambria Math" w:cs="Cambria Math"/>
                      <w:sz w:val="24"/>
                      <w:szCs w:val="24"/>
                    </w:rPr>
                    <m:t>OS</m:t>
                  </m:r>
                </m:sub>
              </m:sSub>
            </m:e>
          </m:d>
        </m:oMath>
      </m:oMathPara>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 variance of the heritability estimate is</w:t>
      </w:r>
    </w:p>
    <w:p w:rsidR="003577EE" w:rsidRDefault="003577EE" w:rsidP="003577EE">
      <w:pPr>
        <w:spacing w:after="160" w:line="259" w:lineRule="auto"/>
        <w:rPr>
          <w:rFonts w:ascii="Cambria Math" w:eastAsia="Cambria Math" w:hAnsi="Cambria Math" w:cs="Cambria Math"/>
          <w:sz w:val="24"/>
          <w:szCs w:val="24"/>
        </w:rPr>
      </w:pPr>
      <m:oMathPara>
        <m:oMath>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a</m:t>
                      </m:r>
                    </m:e>
                  </m:acc>
                </m:e>
                <m:sup>
                  <m:r>
                    <w:rPr>
                      <w:rFonts w:ascii="Cambria Math" w:eastAsia="Cambria Math" w:hAnsi="Cambria Math" w:cs="Cambria Math"/>
                      <w:sz w:val="24"/>
                      <w:szCs w:val="24"/>
                    </w:rPr>
                    <m:t>2</m:t>
                  </m:r>
                </m:sup>
              </m:sSup>
            </m:e>
          </m:d>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r>
                        <w:rPr>
                          <w:rFonts w:ascii="Cambria Math" w:eastAsia="Cambria Math" w:hAnsi="Cambria Math" w:cs="Cambria Math"/>
                          <w:sz w:val="24"/>
                          <w:szCs w:val="24"/>
                        </w:rPr>
                        <m:t>-.5</m:t>
                      </m:r>
                    </m:den>
                  </m:f>
                </m:e>
              </m:d>
            </m:e>
            <m:sup>
              <m:r>
                <w:rPr>
                  <w:rFonts w:ascii="Cambria Math" w:eastAsia="Cambria Math" w:hAnsi="Cambria Math" w:cs="Cambria Math"/>
                  <w:sz w:val="24"/>
                  <w:szCs w:val="24"/>
                </w:rPr>
                <m:t>2</m:t>
              </m:r>
            </m:sup>
          </m:sSup>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t</m:t>
                          </m:r>
                        </m:e>
                      </m:acc>
                    </m:e>
                    <m:sub>
                      <m:r>
                        <w:rPr>
                          <w:rFonts w:ascii="Cambria Math" w:eastAsia="Cambria Math" w:hAnsi="Cambria Math" w:cs="Cambria Math"/>
                          <w:sz w:val="24"/>
                          <w:szCs w:val="24"/>
                        </w:rPr>
                        <m:t>SS</m:t>
                      </m:r>
                    </m:sub>
                  </m:sSub>
                </m:e>
              </m:d>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t</m:t>
                          </m:r>
                        </m:e>
                      </m:acc>
                    </m:e>
                    <m:sub>
                      <m:r>
                        <w:rPr>
                          <w:rFonts w:ascii="Cambria Math" w:eastAsia="Cambria Math" w:hAnsi="Cambria Math" w:cs="Cambria Math"/>
                          <w:sz w:val="24"/>
                          <w:szCs w:val="24"/>
                        </w:rPr>
                        <m:t>OS</m:t>
                      </m:r>
                    </m:sub>
                  </m:sSub>
                </m:e>
              </m:d>
            </m:e>
          </m:d>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r>
                        <w:rPr>
                          <w:rFonts w:ascii="Cambria Math" w:eastAsia="Cambria Math" w:hAnsi="Cambria Math" w:cs="Cambria Math"/>
                          <w:sz w:val="24"/>
                          <w:szCs w:val="24"/>
                        </w:rPr>
                        <m:t>-.5</m:t>
                      </m:r>
                    </m:den>
                  </m:f>
                </m:e>
              </m:d>
            </m:e>
            <m:sup>
              <m:r>
                <w:rPr>
                  <w:rFonts w:ascii="Cambria Math" w:eastAsia="Cambria Math" w:hAnsi="Cambria Math" w:cs="Cambria Math"/>
                  <w:sz w:val="24"/>
                  <w:szCs w:val="24"/>
                </w:rPr>
                <m:t>2</m:t>
              </m:r>
            </m:sup>
          </m:sSup>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SS</m:t>
                                  </m:r>
                                </m:sub>
                              </m:sSub>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OS</m:t>
                                  </m:r>
                                </m:sub>
                              </m:sSub>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num>
                <m:den>
                  <m:r>
                    <w:rPr>
                      <w:rFonts w:ascii="Cambria Math" w:eastAsia="Cambria Math" w:hAnsi="Cambria Math" w:cs="Cambria Math"/>
                      <w:sz w:val="24"/>
                      <w:szCs w:val="24"/>
                    </w:rPr>
                    <m:t>n</m:t>
                  </m:r>
                </m:den>
              </m:f>
            </m:e>
          </m:d>
        </m:oMath>
      </m:oMathPara>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heritability and common environment impact, the equation can also be expressed as</w:t>
      </w:r>
    </w:p>
    <w:p w:rsidR="003577EE" w:rsidRDefault="003577EE" w:rsidP="003577EE">
      <w:pPr>
        <w:spacing w:after="160" w:line="259" w:lineRule="auto"/>
        <w:rPr>
          <w:rFonts w:ascii="Cambria Math" w:eastAsia="Cambria Math" w:hAnsi="Cambria Math" w:cs="Cambria Math"/>
          <w:sz w:val="24"/>
          <w:szCs w:val="24"/>
        </w:rPr>
      </w:pPr>
      <m:oMathPara>
        <m:oMath>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a</m:t>
                      </m:r>
                    </m:e>
                  </m:acc>
                </m:e>
                <m:sup>
                  <m:r>
                    <w:rPr>
                      <w:rFonts w:ascii="Cambria Math" w:eastAsia="Cambria Math" w:hAnsi="Cambria Math" w:cs="Cambria Math"/>
                      <w:sz w:val="24"/>
                      <w:szCs w:val="24"/>
                    </w:rPr>
                    <m:t>2</m:t>
                  </m:r>
                </m:sup>
              </m:sSup>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0.5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num>
            <m:den>
              <m:r>
                <w:rPr>
                  <w:rFonts w:ascii="Cambria Math" w:eastAsia="Cambria Math" w:hAnsi="Cambria Math" w:cs="Cambria Math"/>
                  <w:sz w:val="24"/>
                  <w:szCs w:val="24"/>
                </w:rPr>
                <m:t>n</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r>
                        <w:rPr>
                          <w:rFonts w:ascii="Cambria Math" w:eastAsia="Cambria Math" w:hAnsi="Cambria Math" w:cs="Cambria Math"/>
                          <w:sz w:val="24"/>
                          <w:szCs w:val="24"/>
                        </w:rPr>
                        <m:t>-.5</m:t>
                      </m:r>
                    </m:e>
                  </m:d>
                </m:e>
                <m:sup>
                  <m:r>
                    <w:rPr>
                      <w:rFonts w:ascii="Cambria Math" w:eastAsia="Cambria Math" w:hAnsi="Cambria Math" w:cs="Cambria Math"/>
                      <w:sz w:val="24"/>
                      <w:szCs w:val="24"/>
                    </w:rPr>
                    <m:t>2</m:t>
                  </m:r>
                </m:sup>
              </m:sSup>
            </m:den>
          </m:f>
        </m:oMath>
      </m:oMathPara>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sample sizes are large, the test statistic of a normal test </w:t>
      </w:r>
      <m:oMath>
        <m:r>
          <w:rPr>
            <w:rFonts w:ascii="Cambria Math" w:hAnsi="Cambria Math"/>
          </w:rPr>
          <m:t>λ</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num>
          <m:den>
            <m:r>
              <w:rPr>
                <w:rFonts w:ascii="Cambria Math" w:eastAsia="Cambria Math" w:hAnsi="Cambria Math" w:cs="Cambria Math"/>
                <w:sz w:val="24"/>
                <w:szCs w:val="24"/>
              </w:rPr>
              <m:t>SE</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a</m:t>
                        </m:r>
                      </m:e>
                    </m:acc>
                  </m:e>
                  <m:sup>
                    <m:r>
                      <w:rPr>
                        <w:rFonts w:ascii="Cambria Math" w:eastAsia="Cambria Math" w:hAnsi="Cambria Math" w:cs="Cambria Math"/>
                        <w:sz w:val="24"/>
                        <w:szCs w:val="24"/>
                      </w:rPr>
                      <m:t>2</m:t>
                    </m:r>
                  </m:sup>
                </m:sSup>
              </m:e>
            </m:d>
          </m:den>
        </m:f>
      </m:oMath>
      <w:r>
        <w:rPr>
          <w:rFonts w:ascii="Times New Roman" w:eastAsia="Times New Roman" w:hAnsi="Times New Roman" w:cs="Times New Roman"/>
          <w:sz w:val="24"/>
          <w:szCs w:val="24"/>
        </w:rPr>
        <w:t xml:space="preserve"> is approximately equal to the noncentrality parameter (NCP) of a chi-square test statistic (Visscher, 2004). Therefore, we assume the alternative distribution of heritability </w:t>
      </w:r>
      <w:proofErr w:type="gramStart"/>
      <w:r>
        <w:rPr>
          <w:rFonts w:ascii="Times New Roman" w:eastAsia="Times New Roman" w:hAnsi="Times New Roman" w:cs="Times New Roman"/>
          <w:sz w:val="24"/>
          <w:szCs w:val="24"/>
        </w:rPr>
        <w:t xml:space="preserve">is </w:t>
      </w:r>
      <w:proofErr w:type="gramEnd"/>
      <m:oMath>
        <m:r>
          <w:rPr>
            <w:rFonts w:ascii="Cambria Math" w:eastAsia="Cambria Math" w:hAnsi="Cambria Math" w:cs="Cambria Math"/>
            <w:sz w:val="24"/>
            <w:szCs w:val="24"/>
          </w:rPr>
          <m:t>T∼N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λ,1</m:t>
            </m:r>
          </m:e>
        </m:d>
      </m:oMath>
      <w:r>
        <w:rPr>
          <w:rFonts w:ascii="Times New Roman" w:eastAsia="Times New Roman" w:hAnsi="Times New Roman" w:cs="Times New Roman"/>
          <w:sz w:val="24"/>
          <w:szCs w:val="24"/>
        </w:rPr>
        <w:t xml:space="preserve">, a type-I error rate of α and a type-II error rate of β. In a one-tail test, </w:t>
      </w:r>
    </w:p>
    <w:p w:rsidR="003577EE" w:rsidRDefault="003577EE" w:rsidP="003577EE">
      <w:pPr>
        <w:spacing w:after="160" w:line="259" w:lineRule="auto"/>
        <w:rPr>
          <w:rFonts w:ascii="Cambria Math" w:eastAsia="Cambria Math" w:hAnsi="Cambria Math" w:cs="Cambria Math"/>
          <w:sz w:val="24"/>
          <w:szCs w:val="24"/>
        </w:rPr>
      </w:pPr>
      <m:oMathPara>
        <m:oMath>
          <m:r>
            <w:rPr>
              <w:rFonts w:ascii="Cambria Math" w:eastAsia="Cambria Math" w:hAnsi="Cambria Math" w:cs="Cambria Math"/>
              <w:sz w:val="24"/>
              <w:szCs w:val="24"/>
            </w:rPr>
            <m:t>Power=1-β=Prob</m:t>
          </m:r>
          <m:d>
            <m:dPr>
              <m:ctrlPr>
                <w:rPr>
                  <w:rFonts w:ascii="Cambria Math" w:eastAsia="Cambria Math" w:hAnsi="Cambria Math" w:cs="Cambria Math"/>
                  <w:sz w:val="24"/>
                  <w:szCs w:val="24"/>
                </w:rPr>
              </m:ctrlPr>
            </m:dPr>
            <m:e>
              <m:r>
                <w:rPr>
                  <w:rFonts w:ascii="Cambria Math" w:eastAsia="Cambria Math" w:hAnsi="Cambria Math" w:cs="Cambria Math"/>
                  <w:sz w:val="24"/>
                  <w:szCs w:val="24"/>
                </w:rPr>
                <m:t>x&gt;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1-α</m:t>
                  </m:r>
                </m:sub>
              </m:sSub>
              <m:r>
                <w:rPr>
                  <w:rFonts w:ascii="Cambria Math" w:eastAsia="Cambria Math" w:hAnsi="Cambria Math" w:cs="Cambria Math"/>
                  <w:sz w:val="24"/>
                  <w:szCs w:val="24"/>
                </w:rPr>
                <m:t>-λ</m:t>
              </m:r>
            </m:e>
          </m:d>
        </m:oMath>
      </m:oMathPara>
    </w:p>
    <w:p w:rsidR="003577EE" w:rsidRDefault="003577EE" w:rsidP="003577EE">
      <w:pPr>
        <w:spacing w:after="16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x is a random variable following a standard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(0,1). We can transform the equation into a format </w:t>
      </w:r>
      <w:proofErr w:type="gramStart"/>
      <w:r>
        <w:rPr>
          <w:rFonts w:ascii="Times New Roman" w:eastAsia="Times New Roman" w:hAnsi="Times New Roman" w:cs="Times New Roman"/>
          <w:sz w:val="24"/>
          <w:szCs w:val="24"/>
        </w:rPr>
        <w:t xml:space="preserve">of </w:t>
      </w:r>
      <w:proofErr w:type="gramEnd"/>
      <m:oMath>
        <m:r>
          <w:rPr>
            <w:rFonts w:ascii="Cambria Math" w:hAnsi="Cambria Math"/>
          </w:rPr>
          <m:t>λ</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1-β</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1-α</m:t>
            </m:r>
          </m:sub>
        </m:sSub>
      </m:oMath>
      <w:r>
        <w:rPr>
          <w:rFonts w:ascii="Times New Roman" w:eastAsia="Times New Roman" w:hAnsi="Times New Roman" w:cs="Times New Roman"/>
          <w:sz w:val="24"/>
          <w:szCs w:val="24"/>
        </w:rPr>
        <w:t>, where λ can be expressed in terms of H</w:t>
      </w:r>
      <w:r>
        <w:rPr>
          <w:rFonts w:ascii="Times New Roman" w:eastAsia="Times New Roman" w:hAnsi="Times New Roman" w:cs="Times New Roman"/>
          <w:sz w:val="24"/>
          <w:szCs w:val="24"/>
          <w:vertAlign w:val="subscript"/>
        </w:rPr>
        <w:t>SS</w:t>
      </w:r>
      <w:r>
        <w:rPr>
          <w:rFonts w:ascii="Times New Roman" w:eastAsia="Times New Roman" w:hAnsi="Times New Roman" w:cs="Times New Roman"/>
          <w:sz w:val="24"/>
          <w:szCs w:val="24"/>
        </w:rPr>
        <w:t xml:space="preserve"> and n with </w:t>
      </w:r>
      <m:oMath>
        <m:sSup>
          <m:sSupPr>
            <m:ctrlPr>
              <w:rPr>
                <w:rFonts w:ascii="Cambria Math" w:eastAsia="Cambria Math" w:hAnsi="Cambria Math" w:cs="Cambria Math"/>
                <w:sz w:val="24"/>
                <w:szCs w:val="24"/>
              </w:rPr>
            </m:ctrlPr>
          </m:sSupPr>
          <m:e>
            <m:r>
              <w:rPr>
                <w:rFonts w:ascii="Cambria Math" w:hAnsi="Cambria Math"/>
              </w:rPr>
              <m:t>λ</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4</m:t>
                </m:r>
              </m:sup>
            </m:sSup>
          </m:num>
          <m:den>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a</m:t>
                        </m:r>
                      </m:e>
                    </m:acc>
                  </m:e>
                  <m:sup>
                    <m:r>
                      <w:rPr>
                        <w:rFonts w:ascii="Cambria Math" w:eastAsia="Cambria Math" w:hAnsi="Cambria Math" w:cs="Cambria Math"/>
                        <w:sz w:val="24"/>
                        <w:szCs w:val="24"/>
                      </w:rPr>
                      <m:t>2</m:t>
                    </m:r>
                  </m:sup>
                </m:sSup>
              </m:e>
            </m:d>
          </m:den>
        </m:f>
      </m:oMath>
      <w:r>
        <w:rPr>
          <w:rFonts w:ascii="Times New Roman" w:eastAsia="Times New Roman" w:hAnsi="Times New Roman" w:cs="Times New Roman"/>
          <w:sz w:val="24"/>
          <w:szCs w:val="24"/>
        </w:rPr>
        <w:t>. Hence, we can illustrate the association among statistical power to detect A, the genetic relatedness of same-sex twins (H</w:t>
      </w:r>
      <w:r>
        <w:rPr>
          <w:rFonts w:ascii="Times New Roman" w:eastAsia="Times New Roman" w:hAnsi="Times New Roman" w:cs="Times New Roman"/>
          <w:sz w:val="24"/>
          <w:szCs w:val="24"/>
          <w:vertAlign w:val="subscript"/>
        </w:rPr>
        <w:t>SS</w:t>
      </w:r>
      <w:r>
        <w:rPr>
          <w:rFonts w:ascii="Times New Roman" w:eastAsia="Times New Roman" w:hAnsi="Times New Roman" w:cs="Times New Roman"/>
          <w:sz w:val="24"/>
          <w:szCs w:val="24"/>
        </w:rPr>
        <w:t xml:space="preserve">) and the number of pairs of twins (n) </w:t>
      </w:r>
    </w:p>
    <w:p w:rsidR="003577EE" w:rsidRDefault="00944B98" w:rsidP="003577EE">
      <w:pPr>
        <w:spacing w:after="160" w:line="259" w:lineRule="auto"/>
        <w:rPr>
          <w:rFonts w:ascii="Cambria Math" w:eastAsia="Cambria Math" w:hAnsi="Cambria Math" w:cs="Cambria Math"/>
          <w:sz w:val="24"/>
          <w:szCs w:val="24"/>
        </w:rPr>
      </w:pPr>
      <m:oMathPara>
        <m:oMath>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1-α</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1-β</m:t>
                      </m:r>
                    </m:sub>
                  </m:sSub>
                </m:e>
              </m:d>
            </m:e>
            <m:sup>
              <m:r>
                <w:rPr>
                  <w:rFonts w:ascii="Cambria Math" w:eastAsia="Cambria Math" w:hAnsi="Cambria Math" w:cs="Cambria Math"/>
                  <w:sz w:val="24"/>
                  <w:szCs w:val="24"/>
                </w:rPr>
                <m:t>2</m:t>
              </m:r>
            </m:sup>
          </m:sSup>
          <m:r>
            <w:rPr>
              <w:rFonts w:ascii="Cambria Math" w:eastAsia="Cambria Math" w:hAnsi="Cambria Math" w:cs="Cambria Math"/>
              <w:sz w:val="24"/>
              <w:szCs w:val="24"/>
            </w:rPr>
            <m:t>=n</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r>
                        <w:rPr>
                          <w:rFonts w:ascii="Cambria Math" w:eastAsia="Cambria Math" w:hAnsi="Cambria Math" w:cs="Cambria Math"/>
                          <w:sz w:val="24"/>
                          <w:szCs w:val="24"/>
                        </w:rPr>
                        <m:t>-0.5</m:t>
                      </m:r>
                    </m:e>
                  </m:d>
                </m:e>
                <m:sup>
                  <m:r>
                    <w:rPr>
                      <w:rFonts w:ascii="Cambria Math" w:eastAsia="Cambria Math" w:hAnsi="Cambria Math" w:cs="Cambria Math"/>
                      <w:sz w:val="24"/>
                      <w:szCs w:val="24"/>
                    </w:rPr>
                    <m:t>2</m:t>
                  </m:r>
                </m:sup>
              </m:sSup>
            </m:num>
            <m:den>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SS</m:t>
                                  </m:r>
                                </m:sub>
                              </m:sSub>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r>
                                <w:rPr>
                                  <w:rFonts w:ascii="Cambria Math" w:eastAsia="Cambria Math" w:hAnsi="Cambria Math" w:cs="Cambria Math"/>
                                  <w:sz w:val="24"/>
                                  <w:szCs w:val="24"/>
                                </w:rPr>
                                <m:t>0.5 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c</m:t>
                                  </m:r>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e>
                  </m:d>
                </m:e>
                <m:sup>
                  <m:r>
                    <w:rPr>
                      <w:rFonts w:ascii="Cambria Math" w:eastAsia="Cambria Math" w:hAnsi="Cambria Math" w:cs="Cambria Math"/>
                      <w:sz w:val="24"/>
                      <w:szCs w:val="24"/>
                    </w:rPr>
                    <m:t>2</m:t>
                  </m:r>
                </m:sup>
              </m:sSup>
              <m:r>
                <w:rPr>
                  <w:rFonts w:ascii="Cambria Math" w:eastAsia="Cambria Math" w:hAnsi="Cambria Math" w:cs="Cambria Math"/>
                  <w:sz w:val="24"/>
                  <w:szCs w:val="24"/>
                </w:rPr>
                <m:t> </m:t>
              </m:r>
            </m:den>
          </m:f>
        </m:oMath>
      </m:oMathPara>
    </w:p>
    <w:p w:rsidR="003577EE" w:rsidRDefault="003577EE" w:rsidP="003577EE">
      <w:pPr>
        <w:spacing w:after="16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is the equation 3 in our paper.</w:t>
      </w:r>
    </w:p>
    <w:p w:rsidR="003577EE" w:rsidRDefault="003577EE" w:rsidP="003577EE">
      <w:pPr>
        <w:rPr>
          <w:rFonts w:ascii="Times New Roman" w:eastAsia="Times New Roman" w:hAnsi="Times New Roman" w:cs="Times New Roman"/>
          <w:sz w:val="24"/>
          <w:szCs w:val="24"/>
        </w:rPr>
      </w:pPr>
      <w:r>
        <w:br w:type="page"/>
      </w:r>
    </w:p>
    <w:p w:rsidR="003577EE" w:rsidRDefault="003577EE" w:rsidP="003577EE">
      <w:pPr>
        <w:spacing w:after="16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w:t>
      </w:r>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Additional simulation results for variance structure A = 1.0; C = 1.0; E = 1.0 and A = .5; C = 2.0; E = .5 are provided in </w:t>
      </w:r>
      <w:r w:rsidR="00944B98">
        <w:rPr>
          <w:rFonts w:ascii="Times New Roman" w:eastAsia="Times New Roman" w:hAnsi="Times New Roman" w:cs="Times New Roman"/>
          <w:sz w:val="24"/>
          <w:szCs w:val="24"/>
        </w:rPr>
        <w:t>the supplementary figures</w:t>
      </w:r>
      <w:r>
        <w:rPr>
          <w:rFonts w:ascii="Times New Roman" w:eastAsia="Times New Roman" w:hAnsi="Times New Roman" w:cs="Times New Roman"/>
          <w:sz w:val="24"/>
          <w:szCs w:val="24"/>
        </w:rPr>
        <w:t xml:space="preserve">. To obtain a rough estimate of power, researchers could match the variance structure, the sample size, and the relatedness difference with the setting of their empirical studies. All figures in the results section and here should not be treated as more than a preliminary reference for any study decisions like model selection or data processing. A more accurate power can be estimated by completing their own customized simulations. More information for customized simulations in R </w:t>
      </w:r>
      <w:proofErr w:type="gramStart"/>
      <w:r>
        <w:rPr>
          <w:rFonts w:ascii="Times New Roman" w:eastAsia="Times New Roman" w:hAnsi="Times New Roman" w:cs="Times New Roman"/>
          <w:sz w:val="24"/>
          <w:szCs w:val="24"/>
        </w:rPr>
        <w:t>can be found</w:t>
      </w:r>
      <w:proofErr w:type="gramEnd"/>
      <w:r>
        <w:rPr>
          <w:rFonts w:ascii="Times New Roman" w:eastAsia="Times New Roman" w:hAnsi="Times New Roman" w:cs="Times New Roman"/>
          <w:sz w:val="24"/>
          <w:szCs w:val="24"/>
        </w:rPr>
        <w:t xml:space="preserve"> in the vignette of the </w:t>
      </w:r>
      <w:proofErr w:type="spellStart"/>
      <w:r>
        <w:rPr>
          <w:rFonts w:ascii="Times New Roman" w:eastAsia="Times New Roman" w:hAnsi="Times New Roman" w:cs="Times New Roman"/>
          <w:sz w:val="24"/>
          <w:szCs w:val="24"/>
        </w:rPr>
        <w:t>ACEsimFit</w:t>
      </w:r>
      <w:proofErr w:type="spellEnd"/>
      <w:r>
        <w:rPr>
          <w:rFonts w:ascii="Times New Roman" w:eastAsia="Times New Roman" w:hAnsi="Times New Roman" w:cs="Times New Roman"/>
          <w:sz w:val="24"/>
          <w:szCs w:val="24"/>
        </w:rPr>
        <w:t xml:space="preserve"> package (</w:t>
      </w:r>
      <w:hyperlink r:id="rId5">
        <w:r>
          <w:rPr>
            <w:rFonts w:ascii="Times New Roman" w:eastAsia="Times New Roman" w:hAnsi="Times New Roman" w:cs="Times New Roman"/>
            <w:color w:val="0000FF"/>
            <w:sz w:val="24"/>
            <w:szCs w:val="24"/>
            <w:u w:val="single"/>
          </w:rPr>
          <w:t>https://cran.r-project.org/web/packages/ACEsimFit/vignettes/ACEsimFit.html</w:t>
        </w:r>
      </w:hyperlink>
      <w:r>
        <w:rPr>
          <w:rFonts w:ascii="Times New Roman" w:eastAsia="Times New Roman" w:hAnsi="Times New Roman" w:cs="Times New Roman"/>
          <w:sz w:val="24"/>
          <w:szCs w:val="24"/>
        </w:rPr>
        <w:t xml:space="preserve">). </w:t>
      </w:r>
    </w:p>
    <w:p w:rsidR="00944B98" w:rsidRDefault="00944B9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1" w:name="_GoBack"/>
      <w:bookmarkEnd w:id="1"/>
    </w:p>
    <w:p w:rsidR="00944B98" w:rsidRDefault="00944B98" w:rsidP="003577EE">
      <w:pPr>
        <w:spacing w:after="160" w:line="480" w:lineRule="auto"/>
        <w:rPr>
          <w:rFonts w:ascii="Times New Roman" w:eastAsia="Times New Roman" w:hAnsi="Times New Roman" w:cs="Times New Roman"/>
          <w:sz w:val="24"/>
          <w:szCs w:val="24"/>
        </w:rPr>
      </w:pPr>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114300" distB="114300" distL="114300" distR="114300" wp14:anchorId="66CDC3C1" wp14:editId="7EDBAC29">
            <wp:extent cx="5943600" cy="44577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S1-1. Power of the ACE model to detect A under the simulated variance of A = 1.0; C = 1.0; E = 1.0, as a function of sample size per twin group and H of SS twins. Power in each cell was calculated based on the average non-centrality parameter of 1000 simulations under the corresponding condition. Darker cell colors denote lower power. ‘Sample size’ indicates the number of kin pairs in each kin group.</w:t>
      </w:r>
    </w:p>
    <w:p w:rsidR="003577EE" w:rsidRDefault="003577EE" w:rsidP="003577EE">
      <w:pPr>
        <w:spacing w:after="160" w:line="480" w:lineRule="auto"/>
        <w:rPr>
          <w:rFonts w:ascii="Times New Roman" w:eastAsia="Times New Roman" w:hAnsi="Times New Roman" w:cs="Times New Roman"/>
          <w:sz w:val="24"/>
          <w:szCs w:val="24"/>
        </w:rPr>
      </w:pPr>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114300" distB="114300" distL="114300" distR="114300" wp14:anchorId="4C68940F" wp14:editId="6304E454">
            <wp:extent cx="5943600" cy="4457700"/>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S1-2. Power of the ACE model to detect A under the simulated variance of A = .5; C = 2.0; E = .5, as a function of sample size per twin group and H of SS twins. Power in each cell was calculated based on the average non-centrality parameter of 1000 simulations under the corresponding condition. Darker cell colors denote lower power. ‘Sample size’ indicates the number of kin pairs in each kin group.</w:t>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114300" distB="114300" distL="114300" distR="114300" wp14:anchorId="4DB86566" wp14:editId="3616CFB3">
            <wp:extent cx="5943600" cy="44577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S2-1. Proportion of the fitting results of 1000 simulated datasets that the ACE model has the lowest AIC compared to the AE and CE model under the simulated variance of A = 2.4; C = .3; E = .3, as a function of sample size per twin group and H of SS twins. Darker cell colors denote lower power. ‘Sample size’ indicates the number of kin pairs in each kin group.</w:t>
      </w:r>
    </w:p>
    <w:p w:rsidR="003577EE" w:rsidRDefault="003577EE" w:rsidP="003577EE">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114300" distB="114300" distL="114300" distR="114300" wp14:anchorId="242AD11C" wp14:editId="19A4D2CD">
            <wp:extent cx="5943600" cy="4457700"/>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S2-2. Depicts the proportion of fitting results from 1000 simulated datasets where the ACE model had the lowest AIC compared to the AE and CE models, when the simulated variance is set to A = 1.0; C = 1.0; E = 1.0, as a function of sample size per twin group and H of SS twins. Darker cell colors denote lower power. ‘Sample size’ indicates the number of kin pairs in each kin group.</w:t>
      </w:r>
    </w:p>
    <w:p w:rsidR="003577EE" w:rsidRDefault="003577EE" w:rsidP="003577EE">
      <w:pPr>
        <w:spacing w:line="480" w:lineRule="auto"/>
        <w:rPr>
          <w:rFonts w:ascii="Times New Roman" w:eastAsia="Times New Roman" w:hAnsi="Times New Roman" w:cs="Times New Roman"/>
          <w:sz w:val="24"/>
          <w:szCs w:val="24"/>
        </w:rPr>
      </w:pP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114300" distB="114300" distL="114300" distR="114300" wp14:anchorId="6337BBB7" wp14:editId="6C2952FD">
            <wp:extent cx="5943600" cy="44577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S2-3. Depicts the proportion of fitting results from 1000 simulated datasets where the ACE model had the lowest AIC compared to the AE and CE models, when the simulated variance is set to A = .5; C = 2.0; E = .5, as a function of sample size per twin group and H of SS twins. Darker cell colors denote lower power. ‘Sample size’ indicates the number of kin pairs in each kin group.</w:t>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114300" distB="114300" distL="114300" distR="114300" wp14:anchorId="0861A940" wp14:editId="25A6C11C">
            <wp:extent cx="5943600" cy="44577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S3-1. Illustrates the proportion of fitting results from 1000 simulated datasets with at least one negative estimate for A, C, or E variance components, when variance is set to A = 2.4; C = .3; E = .3, as a function of sample size per twin group and H of SS twins. Darker cell colors indicate higher prevalence of negative estimates. ‘Sample size’ indicates the number of kin pairs in each kin group.</w:t>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114300" distB="114300" distL="114300" distR="114300" wp14:anchorId="094B263E" wp14:editId="2306CE8D">
            <wp:extent cx="5943600" cy="4457700"/>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Supplementary Figure S3-2. Illustrates the proportion of fitting results from 1000 simulated datasets with at least one negative estimate for A, C, or E variance components, when variance is set to A = 1.0; C = 1.0; E = 1.0.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a function of sample size per twin group and H of SS twins. Darker cell colors denote a higher proportion of models with negative estimates. ‘Sample size’ indicates the number of kin pairs in each kin group.</w:t>
      </w:r>
    </w:p>
    <w:p w:rsidR="003577EE" w:rsidRDefault="003577EE" w:rsidP="003577EE">
      <w:pPr>
        <w:spacing w:line="480" w:lineRule="auto"/>
        <w:rPr>
          <w:rFonts w:ascii="Times New Roman" w:eastAsia="Times New Roman" w:hAnsi="Times New Roman" w:cs="Times New Roman"/>
          <w:sz w:val="24"/>
          <w:szCs w:val="24"/>
        </w:rPr>
      </w:pP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AU" w:eastAsia="en-AU"/>
        </w:rPr>
        <w:drawing>
          <wp:inline distT="114300" distB="114300" distL="114300" distR="114300" wp14:anchorId="572EA946" wp14:editId="3420C928">
            <wp:extent cx="5943600" cy="4457700"/>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S3-3. Illustrates the proportion of fitting results from 1000 simulated datasets with at least one negative estimate for A, C, or E variance components, when variance is set to A = .5; C = 2.0; E = .5, as a function of sample size per twin group and H of SS twins. Darker cell colors indicate higher prevalence of negative estimates. ‘Sample size’ indicates the number of kin pairs in each kin group.</w:t>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noProof/>
          <w:sz w:val="24"/>
          <w:szCs w:val="24"/>
          <w:lang w:val="en-AU" w:eastAsia="en-AU"/>
        </w:rPr>
        <w:drawing>
          <wp:inline distT="114300" distB="114300" distL="114300" distR="114300" wp14:anchorId="68D1DE7E" wp14:editId="5651753E">
            <wp:extent cx="5943600" cy="4457700"/>
            <wp:effectExtent l="0" t="0" r="0"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r w:rsidRPr="004F0F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Supplementary Figure S4-1.</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Depicts the proportion of fitting results from 1000 simulated datasets where the ACE model had the lowest AIC compared to the AE and CE models, when the simulated variance is set to A = 1.5; C = .6; E = .9 (50%, 20%, 30%) and the sex-limited scalar of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 xml:space="preserve"> = .95 included, as a function of sample size per twin group and H of SS twins. Darker cell colors denote lower power. ‘Sample size’ indicates the number of kin pairs in each kin group.</w:t>
      </w:r>
    </w:p>
    <w:p w:rsidR="003577EE" w:rsidRDefault="003577EE" w:rsidP="003577EE">
      <w:pPr>
        <w:spacing w:line="480" w:lineRule="auto"/>
        <w:rPr>
          <w:rFonts w:ascii="Times New Roman" w:eastAsia="Times New Roman" w:hAnsi="Times New Roman" w:cs="Times New Roman"/>
          <w:sz w:val="24"/>
          <w:szCs w:val="24"/>
        </w:rPr>
      </w:pPr>
    </w:p>
    <w:p w:rsidR="003577EE" w:rsidRDefault="003577EE" w:rsidP="003577EE">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lang w:val="en-AU" w:eastAsia="en-AU"/>
        </w:rPr>
        <w:drawing>
          <wp:inline distT="114300" distB="114300" distL="114300" distR="114300" wp14:anchorId="0E0BB3D4" wp14:editId="71FE797F">
            <wp:extent cx="5943600" cy="445770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Supplementary Figure S4-2.</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Illustrates the proportion of fitting results from 1000 simulated datasets with at least one negative estimate for A, C, or E variance components, when variance is set to A=1.5; C=.6; E=.9 (50%, 20%, 30%) and the sex-limited scalar of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 xml:space="preserve"> = .95 included, as a function of sample size per twin group and H of SS twins. Darker cell colors indicate higher prevalence of negative estimates. ‘Sample size’ indicates the number of kin pairs in each kin group.</w:t>
      </w:r>
    </w:p>
    <w:p w:rsidR="003577EE" w:rsidRDefault="003577EE" w:rsidP="003577E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AU" w:eastAsia="en-AU"/>
        </w:rPr>
        <w:drawing>
          <wp:inline distT="114300" distB="114300" distL="114300" distR="114300" wp14:anchorId="4A87E0CB" wp14:editId="59C795B3">
            <wp:extent cx="5943600" cy="4457700"/>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S5-1. Average estimates of ‘A’ obtained from 1000 models, each fit to simulate data with variance combination A = 1.0, C = 1.0, E = 1.0 (33.3%, 33.3%, 33.3%). Darker cell colors denote larger deviations from the population parameter A = 1.0. ‘Sample size’ indicates the number of kin pairs in each kin group.</w:t>
      </w:r>
    </w:p>
    <w:p w:rsidR="003577EE" w:rsidRDefault="003577EE" w:rsidP="003577E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AU" w:eastAsia="en-AU"/>
        </w:rPr>
        <w:drawing>
          <wp:inline distT="114300" distB="114300" distL="114300" distR="114300" wp14:anchorId="58C6D894" wp14:editId="5F6F9CD3">
            <wp:extent cx="5943600" cy="44577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rsidR="003577EE" w:rsidRDefault="003577EE" w:rsidP="003577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Supplementary Figure S5-2. Average estimates of ‘A’ obtained from 1000 models, each fit to simulate data with variance combination A = 2.4, C = .3, E = .3 (80%, 10%, 10%). Darker cell colors denote larger deviations from the population parameter A = 2.4. ‘Sample size’ indicates the number of kin pairs in each kin group.</w:t>
      </w:r>
    </w:p>
    <w:p w:rsidR="003577EE" w:rsidRDefault="003577EE" w:rsidP="003577EE">
      <w:pPr>
        <w:spacing w:line="480" w:lineRule="auto"/>
        <w:rPr>
          <w:rFonts w:ascii="Times New Roman" w:eastAsia="Times New Roman" w:hAnsi="Times New Roman" w:cs="Times New Roman"/>
          <w:b/>
          <w:sz w:val="24"/>
          <w:szCs w:val="24"/>
        </w:rPr>
      </w:pPr>
    </w:p>
    <w:p w:rsidR="003577EE" w:rsidRDefault="003577EE" w:rsidP="003577EE">
      <w:pPr>
        <w:spacing w:line="480" w:lineRule="auto"/>
        <w:rPr>
          <w:rFonts w:ascii="Times New Roman" w:eastAsia="Times New Roman" w:hAnsi="Times New Roman" w:cs="Times New Roman"/>
          <w:b/>
          <w:sz w:val="24"/>
          <w:szCs w:val="24"/>
        </w:rPr>
      </w:pPr>
    </w:p>
    <w:p w:rsidR="00EB0FE0" w:rsidRDefault="00944B98"/>
    <w:sectPr w:rsidR="00EB0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EE"/>
    <w:rsid w:val="003577EE"/>
    <w:rsid w:val="00944B98"/>
    <w:rsid w:val="00DF2CAF"/>
    <w:rsid w:val="00F369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805B"/>
  <w15:chartTrackingRefBased/>
  <w15:docId w15:val="{B9A62D67-BC62-439F-B874-3EEAC74E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EE"/>
    <w:pPr>
      <w:spacing w:after="0" w:line="276" w:lineRule="auto"/>
    </w:pPr>
    <w:rPr>
      <w:rFonts w:ascii="Arial" w:eastAsiaTheme="minorEastAsia"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ran.r-project.org/web/packages/ACEsimFit/vignettes/ACEsimFit.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www.zotero.org/google-docs/?fZ22lN"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QIMR Berghofer</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Martin</dc:creator>
  <cp:keywords/>
  <dc:description/>
  <cp:lastModifiedBy>N Martin</cp:lastModifiedBy>
  <cp:revision>2</cp:revision>
  <dcterms:created xsi:type="dcterms:W3CDTF">2023-08-21T02:32:00Z</dcterms:created>
  <dcterms:modified xsi:type="dcterms:W3CDTF">2023-08-30T00:41:00Z</dcterms:modified>
</cp:coreProperties>
</file>