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2022 paper</w:t>
      </w:r>
      <w:r>
        <w:t xml:space="preserve"> </w:t>
      </w:r>
      <w:r>
        <w:t xml:space="preserve">“</w:t>
      </w:r>
      <w:r>
        <w:t xml:space="preserve">Sibling Models Can test Causal Claims without Experiments: Applications for Pyschology</w:t>
      </w:r>
      <w:r>
        <w:t xml:space="preserve">”</w:t>
      </w:r>
      <w:r>
        <w:t xml:space="preserve"> </w:t>
      </w:r>
      <w:r>
        <w:t xml:space="preserve">by S. Mason Garrison, Hannah Robertson, Jonathan D. Trattner, and Joseph Lee Rodgers.</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389"/>
        <w:gridCol w:w="1536"/>
        <w:gridCol w:w="1193"/>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0.79, 0.87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-0.02, 0.10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-0.12, 0.00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R² = 0.466; Adjusted R² = 0.464; Sigma = 0.670; Statistic = 296; p-value = &lt;0.001; df = 6; Log-likelihood = -2,082; AIC = 4,179; BIC = 4,224;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2022-04-30T00:52:17Z</dcterms:created>
  <dcterms:modified xsi:type="dcterms:W3CDTF">2022-04-30T00:52:17Z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