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2E5A8C"/>
          <w:sz w:val="52"/>
          <w:szCs w:val="52"/>
        </w:rPr>
        <w:t xml:space="preserve">ProActivity Notify Preferences</w:t>
      </w:r>
    </w:p>
    <w:p>
      <w:pPr>
        <w:spacing w:after="200"/>
        <w:jc w:val="center"/>
      </w:pPr>
      <w:r>
        <w:rPr>
          <w:rFonts w:ascii="Consolas" w:cs="Consolas" w:eastAsia="Consolas" w:hAnsi="Consolas"/>
          <w:i/>
          <w:iCs/>
          <w:color w:val="666666"/>
          <w:sz w:val="26"/>
          <w:szCs w:val="26"/>
        </w:rPr>
        <w:t xml:space="preserve">pro_activity_notify</w:t>
      </w:r>
    </w:p>
    <w:p>
      <w:pPr>
        <w:spacing w:after="500"/>
        <w:jc w:val="center"/>
      </w:pPr>
      <w:r>
        <w:rPr>
          <w:color w:val="444444"/>
          <w:sz w:val="24"/>
          <w:szCs w:val="24"/>
        </w:rPr>
        <w:t xml:space="preserve">Per-user opt-out for activity assignment emails</w:t>
      </w:r>
    </w:p>
    <w:tbl>
      <w:tblPr>
        <w:tblW w:type="dxa" w:w="9360"/>
        <w:tblBorders>
          <w:top w:val="none"/>
          <w:left w:val="none"/>
          <w:bottom w:val="none"/>
          <w:right w:val="none"/>
          <w:insideH w:val="single" w:color="DDDDDD" w:sz="2"/>
          <w:insideV w:val="none"/>
        </w:tblBorders>
      </w:tblPr>
      <w:tblGrid>
        <w:gridCol w:w="2600"/>
        <w:gridCol w:w="6760"/>
      </w:tblGrid>
      <w:tr>
        <w:tc>
          <w:tcPr>
            <w:tcW w:type="dxa" w:w="2600"/>
            <w:tcMar>
              <w:top w:type="dxa" w:w="40"/>
              <w:left w:type="dxa" w:w="40"/>
              <w:bottom w:type="dxa" w:w="40"/>
              <w:right w:type="dxa" w:w="40"/>
            </w:tcMar>
          </w:tcPr>
          <w:p>
            <w:r>
              <w:rPr>
                <w:b/>
                <w:bCs/>
                <w:color w:val="1F3D5C"/>
                <w:sz w:val="19"/>
                <w:szCs w:val="19"/>
              </w:rPr>
              <w:t xml:space="preserve">Technical name</w:t>
            </w:r>
          </w:p>
        </w:tc>
        <w:tc>
          <w:tcPr>
            <w:tcW w:type="dxa" w:w="6760"/>
            <w:tcMar>
              <w:top w:type="dxa" w:w="40"/>
              <w:left w:type="dxa" w:w="40"/>
              <w:bottom w:type="dxa" w:w="40"/>
              <w:right w:type="dxa" w:w="40"/>
            </w:tcMar>
          </w:tcPr>
          <w:p>
            <w:r>
              <w:rPr>
                <w:sz w:val="19"/>
                <w:szCs w:val="19"/>
              </w:rPr>
              <w:t xml:space="preserve">pro_activity_notify</w:t>
            </w:r>
          </w:p>
        </w:tc>
      </w:tr>
      <w:tr>
        <w:tc>
          <w:tcPr>
            <w:tcW w:type="dxa" w:w="2600"/>
            <w:tcMar>
              <w:top w:type="dxa" w:w="40"/>
              <w:left w:type="dxa" w:w="40"/>
              <w:bottom w:type="dxa" w:w="40"/>
              <w:right w:type="dxa" w:w="40"/>
            </w:tcMar>
          </w:tcPr>
          <w:p>
            <w:r>
              <w:rPr>
                <w:b/>
                <w:bCs/>
                <w:color w:val="1F3D5C"/>
                <w:sz w:val="19"/>
                <w:szCs w:val="19"/>
              </w:rPr>
              <w:t xml:space="preserve">Version</w:t>
            </w:r>
          </w:p>
        </w:tc>
        <w:tc>
          <w:tcPr>
            <w:tcW w:type="dxa" w:w="6760"/>
            <w:tcMar>
              <w:top w:type="dxa" w:w="40"/>
              <w:left w:type="dxa" w:w="40"/>
              <w:bottom w:type="dxa" w:w="40"/>
              <w:right w:type="dxa" w:w="40"/>
            </w:tcMar>
          </w:tcPr>
          <w:p>
            <w:r>
              <w:rPr>
                <w:sz w:val="19"/>
                <w:szCs w:val="19"/>
              </w:rPr>
              <w:t xml:space="preserve">17.0.1.0.0</w:t>
            </w:r>
          </w:p>
        </w:tc>
      </w:tr>
      <w:tr>
        <w:tc>
          <w:tcPr>
            <w:tcW w:type="dxa" w:w="2600"/>
            <w:tcMar>
              <w:top w:type="dxa" w:w="40"/>
              <w:left w:type="dxa" w:w="40"/>
              <w:bottom w:type="dxa" w:w="40"/>
              <w:right w:type="dxa" w:w="40"/>
            </w:tcMar>
          </w:tcPr>
          <w:p>
            <w:r>
              <w:rPr>
                <w:b/>
                <w:bCs/>
                <w:color w:val="1F3D5C"/>
                <w:sz w:val="19"/>
                <w:szCs w:val="19"/>
              </w:rPr>
              <w:t xml:space="preserve">Author</w:t>
            </w:r>
          </w:p>
        </w:tc>
        <w:tc>
          <w:tcPr>
            <w:tcW w:type="dxa" w:w="6760"/>
            <w:tcMar>
              <w:top w:type="dxa" w:w="40"/>
              <w:left w:type="dxa" w:w="40"/>
              <w:bottom w:type="dxa" w:w="40"/>
              <w:right w:type="dxa" w:w="40"/>
            </w:tcMar>
          </w:tcPr>
          <w:p>
            <w:r>
              <w:rPr>
                <w:sz w:val="19"/>
                <w:szCs w:val="19"/>
              </w:rPr>
              <w:t xml:space="preserve">Ézékiel deBlois</w:t>
            </w:r>
          </w:p>
        </w:tc>
      </w:tr>
      <w:tr>
        <w:tc>
          <w:tcPr>
            <w:tcW w:type="dxa" w:w="2600"/>
            <w:tcMar>
              <w:top w:type="dxa" w:w="40"/>
              <w:left w:type="dxa" w:w="40"/>
              <w:bottom w:type="dxa" w:w="40"/>
              <w:right w:type="dxa" w:w="40"/>
            </w:tcMar>
          </w:tcPr>
          <w:p>
            <w:r>
              <w:rPr>
                <w:b/>
                <w:bCs/>
                <w:color w:val="1F3D5C"/>
                <w:sz w:val="19"/>
                <w:szCs w:val="19"/>
              </w:rPr>
              <w:t xml:space="preserve">License</w:t>
            </w:r>
          </w:p>
        </w:tc>
        <w:tc>
          <w:tcPr>
            <w:tcW w:type="dxa" w:w="6760"/>
            <w:tcMar>
              <w:top w:type="dxa" w:w="40"/>
              <w:left w:type="dxa" w:w="40"/>
              <w:bottom w:type="dxa" w:w="40"/>
              <w:right w:type="dxa" w:w="40"/>
            </w:tcMar>
          </w:tcPr>
          <w:p>
            <w:r>
              <w:rPr>
                <w:sz w:val="19"/>
                <w:szCs w:val="19"/>
              </w:rPr>
              <w:t xml:space="preserve">LGPL-3</w:t>
            </w:r>
          </w:p>
        </w:tc>
      </w:tr>
      <w:tr>
        <w:tc>
          <w:tcPr>
            <w:tcW w:type="dxa" w:w="2600"/>
            <w:tcMar>
              <w:top w:type="dxa" w:w="40"/>
              <w:left w:type="dxa" w:w="40"/>
              <w:bottom w:type="dxa" w:w="40"/>
              <w:right w:type="dxa" w:w="40"/>
            </w:tcMar>
          </w:tcPr>
          <w:p>
            <w:r>
              <w:rPr>
                <w:b/>
                <w:bCs/>
                <w:color w:val="1F3D5C"/>
                <w:sz w:val="19"/>
                <w:szCs w:val="19"/>
              </w:rPr>
              <w:t xml:space="preserve">Category</w:t>
            </w:r>
          </w:p>
        </w:tc>
        <w:tc>
          <w:tcPr>
            <w:tcW w:type="dxa" w:w="6760"/>
            <w:tcMar>
              <w:top w:type="dxa" w:w="40"/>
              <w:left w:type="dxa" w:w="40"/>
              <w:bottom w:type="dxa" w:w="40"/>
              <w:right w:type="dxa" w:w="40"/>
            </w:tcMar>
          </w:tcPr>
          <w:p>
            <w:r>
              <w:rPr>
                <w:sz w:val="19"/>
                <w:szCs w:val="19"/>
              </w:rPr>
              <w:t xml:space="preserve">Productivity</w:t>
            </w:r>
          </w:p>
        </w:tc>
      </w:tr>
      <w:tr>
        <w:tc>
          <w:tcPr>
            <w:tcW w:type="dxa" w:w="2600"/>
            <w:tcMar>
              <w:top w:type="dxa" w:w="40"/>
              <w:left w:type="dxa" w:w="40"/>
              <w:bottom w:type="dxa" w:w="40"/>
              <w:right w:type="dxa" w:w="40"/>
            </w:tcMar>
          </w:tcPr>
          <w:p>
            <w:r>
              <w:rPr>
                <w:b/>
                <w:bCs/>
                <w:color w:val="1F3D5C"/>
                <w:sz w:val="19"/>
                <w:szCs w:val="19"/>
              </w:rPr>
              <w:t xml:space="preserve">Odoo series</w:t>
            </w:r>
          </w:p>
        </w:tc>
        <w:tc>
          <w:tcPr>
            <w:tcW w:type="dxa" w:w="6760"/>
            <w:tcMar>
              <w:top w:type="dxa" w:w="40"/>
              <w:left w:type="dxa" w:w="40"/>
              <w:bottom w:type="dxa" w:w="40"/>
              <w:right w:type="dxa" w:w="40"/>
            </w:tcMar>
          </w:tcPr>
          <w:p>
            <w:r>
              <w:rPr>
                <w:sz w:val="19"/>
                <w:szCs w:val="19"/>
              </w:rPr>
              <w:t xml:space="preserve">17.0 (documented for a 17 → 18 upgrade review)</w:t>
            </w:r>
          </w:p>
        </w:tc>
      </w:tr>
      <w:tr>
        <w:tc>
          <w:tcPr>
            <w:tcW w:type="dxa" w:w="2600"/>
            <w:tcMar>
              <w:top w:type="dxa" w:w="40"/>
              <w:left w:type="dxa" w:w="40"/>
              <w:bottom w:type="dxa" w:w="40"/>
              <w:right w:type="dxa" w:w="40"/>
            </w:tcMar>
          </w:tcPr>
          <w:p>
            <w:r>
              <w:rPr>
                <w:b/>
                <w:bCs/>
                <w:color w:val="1F3D5C"/>
                <w:sz w:val="19"/>
                <w:szCs w:val="19"/>
              </w:rPr>
              <w:t xml:space="preserve">Depends on</w:t>
            </w:r>
          </w:p>
        </w:tc>
        <w:tc>
          <w:tcPr>
            <w:tcW w:type="dxa" w:w="6760"/>
            <w:tcMar>
              <w:top w:type="dxa" w:w="40"/>
              <w:left w:type="dxa" w:w="40"/>
              <w:bottom w:type="dxa" w:w="40"/>
              <w:right w:type="dxa" w:w="40"/>
            </w:tcMar>
          </w:tcPr>
          <w:p>
            <w:r>
              <w:rPr>
                <w:sz w:val="19"/>
                <w:szCs w:val="19"/>
              </w:rPr>
              <w:t xml:space="preserve">mail</w:t>
            </w:r>
          </w:p>
        </w:tc>
      </w:tr>
    </w:tbl>
    <w:p>
      <w:r>
        <w:br w:type="page"/>
      </w:r>
    </w:p>
    <w:p>
      <w:pPr>
        <w:spacing w:after="140"/>
      </w:pPr>
      <w:r>
        <w:rPr>
          <w:b/>
          <w:bCs/>
          <w:color w:val="2E5A8C"/>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2E5A8C"/>
          <w:sz w:val="30"/>
          <w:szCs w:val="30"/>
        </w:rPr>
        <w:t xml:space="preserve">1. Overview</w:t>
      </w:r>
    </w:p>
    <w:p>
      <w:pPr>
        <w:spacing w:after="120" w:line="264"/>
      </w:pPr>
      <w:r>
        <w:t xml:space="preserve">This module adds a single per-user preference that lets each internal user decide whether they receive the email/notification Odoo normally sends whenever an activity is assigned to them. The preference defaults to enabled, so behaviour is unchanged until a user opts out. When disabled, no assignment email is sent to that user, but the activity still appears in their Activities menu and systray as usual.</w:t>
      </w:r>
    </w:p>
    <w:p>
      <w:pPr>
        <w:spacing w:after="120" w:line="264"/>
      </w:pPr>
      <w:r>
        <w:t xml:space="preserve">The feature is implemented by filtering assignees inside the single core method Odoo uses to email an assignee, so it works both when an activity is created and when it is reassigned.</w:t>
      </w:r>
    </w:p>
    <w:p>
      <w:pPr>
        <w:pStyle w:val="Heading1"/>
        <w:spacing w:after="140" w:before="320"/>
      </w:pPr>
      <w:r>
        <w:rPr>
          <w:b/>
          <w:bCs/>
          <w:color w:val="2E5A8C"/>
          <w:sz w:val="30"/>
          <w:szCs w:val="30"/>
        </w:rPr>
        <w:t xml:space="preserve">2. Data model &amp; fields</w:t>
      </w:r>
    </w:p>
    <w:p>
      <w:pPr>
        <w:pStyle w:val="Heading3"/>
        <w:spacing w:after="80" w:before="180"/>
      </w:pPr>
      <w:r>
        <w:rPr>
          <w:b/>
          <w:bCs/>
          <w:color w:val="333333"/>
          <w:sz w:val="22"/>
          <w:szCs w:val="22"/>
        </w:rPr>
        <w:t xml:space="preserve">res.users (inherited)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1900"/>
        <w:gridCol w:w="4860"/>
      </w:tblGrid>
      <w:tr>
        <w:trPr>
          <w:tblHeader/>
        </w:trPr>
        <w:tc>
          <w:tcPr>
            <w:tcW w:type="dxa" w:w="2600"/>
            <w:shd w:fill="EAF0F7" w:val="clear"/>
            <w:tcMar>
              <w:top w:type="dxa" w:w="40"/>
              <w:left w:type="dxa" w:w="90"/>
              <w:bottom w:type="dxa" w:w="40"/>
              <w:right w:type="dxa" w:w="90"/>
            </w:tcMar>
          </w:tcPr>
          <w:p>
            <w:r>
              <w:rPr>
                <w:b/>
                <w:bCs/>
                <w:color w:val="1F3D5C"/>
                <w:sz w:val="19"/>
                <w:szCs w:val="19"/>
              </w:rPr>
              <w:t xml:space="preserve">Field</w:t>
            </w:r>
          </w:p>
        </w:tc>
        <w:tc>
          <w:tcPr>
            <w:tcW w:type="dxa" w:w="1900"/>
            <w:shd w:fill="EAF0F7" w:val="clear"/>
            <w:tcMar>
              <w:top w:type="dxa" w:w="40"/>
              <w:left w:type="dxa" w:w="90"/>
              <w:bottom w:type="dxa" w:w="40"/>
              <w:right w:type="dxa" w:w="90"/>
            </w:tcMar>
          </w:tcPr>
          <w:p>
            <w:r>
              <w:rPr>
                <w:b/>
                <w:bCs/>
                <w:color w:val="1F3D5C"/>
                <w:sz w:val="19"/>
                <w:szCs w:val="19"/>
              </w:rPr>
              <w:t xml:space="preserve">Type</w:t>
            </w:r>
          </w:p>
        </w:tc>
        <w:tc>
          <w:tcPr>
            <w:tcW w:type="dxa" w:w="4860"/>
            <w:shd w:fill="EAF0F7" w:val="clear"/>
            <w:tcMar>
              <w:top w:type="dxa" w:w="40"/>
              <w:left w:type="dxa" w:w="90"/>
              <w:bottom w:type="dxa" w:w="40"/>
              <w:right w:type="dxa" w:w="90"/>
            </w:tcMar>
          </w:tcPr>
          <w:p>
            <w:r>
              <w:rPr>
                <w:b/>
                <w:bCs/>
                <w:color w:val="1F3D5C"/>
                <w:sz w:val="19"/>
                <w:szCs w:val="19"/>
              </w:rPr>
              <w:t xml:space="preserve">Purpose</w:t>
            </w:r>
          </w:p>
        </w:tc>
      </w:tr>
      <w:tr>
        <w:tc>
          <w:tcPr>
            <w:tcW w:type="dxa" w:w="2600"/>
            <w:tcMar>
              <w:top w:type="dxa" w:w="30"/>
              <w:left w:type="dxa" w:w="90"/>
              <w:bottom w:type="dxa" w:w="30"/>
              <w:right w:type="dxa" w:w="90"/>
            </w:tcMar>
          </w:tcPr>
          <w:p>
            <w:pPr>
              <w:spacing w:after="0" w:line="240"/>
            </w:pPr>
            <w:r>
              <w:rPr>
                <w:sz w:val="18"/>
                <w:szCs w:val="18"/>
              </w:rPr>
              <w:t xml:space="preserve">activity_email_notify</w:t>
            </w:r>
          </w:p>
        </w:tc>
        <w:tc>
          <w:tcPr>
            <w:tcW w:type="dxa" w:w="1900"/>
            <w:tcMar>
              <w:top w:type="dxa" w:w="30"/>
              <w:left w:type="dxa" w:w="90"/>
              <w:bottom w:type="dxa" w:w="30"/>
              <w:right w:type="dxa" w:w="90"/>
            </w:tcMar>
          </w:tcPr>
          <w:p>
            <w:pPr>
              <w:spacing w:after="0" w:line="240"/>
            </w:pPr>
            <w:r>
              <w:rPr>
                <w:sz w:val="18"/>
                <w:szCs w:val="18"/>
              </w:rPr>
              <w:t xml:space="preserve">Boolean</w:t>
            </w:r>
          </w:p>
        </w:tc>
        <w:tc>
          <w:tcPr>
            <w:tcW w:type="dxa" w:w="4860"/>
            <w:tcMar>
              <w:top w:type="dxa" w:w="30"/>
              <w:left w:type="dxa" w:w="90"/>
              <w:bottom w:type="dxa" w:w="30"/>
              <w:right w:type="dxa" w:w="90"/>
            </w:tcMar>
          </w:tcPr>
          <w:p>
            <w:pPr>
              <w:spacing w:after="0" w:line="240"/>
            </w:pPr>
            <w:r>
              <w:rPr>
                <w:sz w:val="18"/>
                <w:szCs w:val="18"/>
              </w:rPr>
              <w:t xml:space="preserve">Per-user switch, default True. When True the user receives activity-assignment emails; when False those emails are suppressed for that user.</w:t>
            </w:r>
          </w:p>
        </w:tc>
      </w:tr>
    </w:tbl>
    <w:p>
      <w:pPr>
        <w:spacing w:after="120" w:line="264"/>
      </w:pPr>
      <w:r>
        <w:t xml:space="preserve">The field is added to both </w:t>
      </w:r>
      <w:r>
        <w:rPr>
          <w:rFonts w:ascii="Consolas" w:cs="Consolas" w:eastAsia="Consolas" w:hAnsi="Consolas"/>
          <w:sz w:val="19"/>
          <w:szCs w:val="19"/>
        </w:rPr>
        <w:t xml:space="preserve">SELF_READABLE_FIELDS</w:t>
      </w:r>
      <w:r>
        <w:t xml:space="preserve"> and </w:t>
      </w:r>
      <w:r>
        <w:rPr>
          <w:rFonts w:ascii="Consolas" w:cs="Consolas" w:eastAsia="Consolas" w:hAnsi="Consolas"/>
          <w:sz w:val="19"/>
          <w:szCs w:val="19"/>
        </w:rPr>
        <w:t xml:space="preserve">SELF_WRITEABLE_FIELDS</w:t>
      </w:r>
      <w:r>
        <w:t xml:space="preserve"> (via property overrides) so a non-admin user can read and change it on their own record from the Preferences dialog without needing administrator rights.</w:t>
      </w:r>
    </w:p>
    <w:p>
      <w:pPr>
        <w:pStyle w:val="Heading1"/>
        <w:spacing w:after="140" w:before="320"/>
      </w:pPr>
      <w:r>
        <w:rPr>
          <w:b/>
          <w:bCs/>
          <w:color w:val="2E5A8C"/>
          <w:sz w:val="30"/>
          <w:szCs w:val="30"/>
        </w:rPr>
        <w:t xml:space="preserve">3. Business logic</w:t>
      </w:r>
    </w:p>
    <w:p>
      <w:pPr>
        <w:pStyle w:val="Heading3"/>
        <w:spacing w:after="80" w:before="180"/>
      </w:pPr>
      <w:r>
        <w:rPr>
          <w:b/>
          <w:bCs/>
          <w:color w:val="333333"/>
          <w:sz w:val="22"/>
          <w:szCs w:val="22"/>
        </w:rPr>
        <w:t xml:space="preserve">mail.activity (inherited)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EAF0F7" w:val="clear"/>
            <w:tcMar>
              <w:top w:type="dxa" w:w="40"/>
              <w:left w:type="dxa" w:w="90"/>
              <w:bottom w:type="dxa" w:w="40"/>
              <w:right w:type="dxa" w:w="90"/>
            </w:tcMar>
          </w:tcPr>
          <w:p>
            <w:r>
              <w:rPr>
                <w:b/>
                <w:bCs/>
                <w:color w:val="1F3D5C"/>
                <w:sz w:val="19"/>
                <w:szCs w:val="19"/>
              </w:rPr>
              <w:t xml:space="preserve">Method / Hook</w:t>
            </w:r>
          </w:p>
        </w:tc>
        <w:tc>
          <w:tcPr>
            <w:tcW w:type="dxa" w:w="6360"/>
            <w:shd w:fill="EAF0F7" w:val="clear"/>
            <w:tcMar>
              <w:top w:type="dxa" w:w="40"/>
              <w:left w:type="dxa" w:w="90"/>
              <w:bottom w:type="dxa" w:w="40"/>
              <w:right w:type="dxa" w:w="90"/>
            </w:tcMar>
          </w:tcPr>
          <w:p>
            <w:r>
              <w:rPr>
                <w:b/>
                <w:bCs/>
                <w:color w:val="1F3D5C"/>
                <w:sz w:val="19"/>
                <w:szCs w:val="19"/>
              </w:rPr>
              <w:t xml:space="preserve">Purpose</w:t>
            </w:r>
          </w:p>
        </w:tc>
      </w:tr>
      <w:tr>
        <w:tc>
          <w:tcPr>
            <w:tcW w:type="dxa" w:w="3000"/>
            <w:tcMar>
              <w:top w:type="dxa" w:w="30"/>
              <w:left w:type="dxa" w:w="90"/>
              <w:bottom w:type="dxa" w:w="30"/>
              <w:right w:type="dxa" w:w="90"/>
            </w:tcMar>
          </w:tcPr>
          <w:p>
            <w:pPr>
              <w:spacing w:after="0" w:line="240"/>
            </w:pPr>
            <w:r>
              <w:rPr>
                <w:sz w:val="18"/>
                <w:szCs w:val="18"/>
              </w:rPr>
              <w:t xml:space="preserve">action_notify()</w:t>
            </w:r>
          </w:p>
        </w:tc>
        <w:tc>
          <w:tcPr>
            <w:tcW w:type="dxa" w:w="6360"/>
            <w:tcMar>
              <w:top w:type="dxa" w:w="30"/>
              <w:left w:type="dxa" w:w="90"/>
              <w:bottom w:type="dxa" w:w="30"/>
              <w:right w:type="dxa" w:w="90"/>
            </w:tcMar>
          </w:tcPr>
          <w:p>
            <w:pPr>
              <w:spacing w:after="0" w:line="240"/>
            </w:pPr>
            <w:r>
              <w:rPr>
                <w:sz w:val="18"/>
                <w:szCs w:val="18"/>
              </w:rPr>
              <w:t xml:space="preserve">Overrides the core assignment-notification method. Filters </w:t>
            </w:r>
            <w:r>
              <w:rPr>
                <w:rFonts w:ascii="Consolas" w:cs="Consolas" w:eastAsia="Consolas" w:hAnsi="Consolas"/>
                <w:sz w:val="17"/>
                <w:szCs w:val="17"/>
              </w:rPr>
              <w:t xml:space="preserve">self</w:t>
            </w:r>
            <w:r>
              <w:rPr>
                <w:sz w:val="18"/>
                <w:szCs w:val="18"/>
              </w:rPr>
              <w:t xml:space="preserve"> down to the activities whose assignee has </w:t>
            </w:r>
            <w:r>
              <w:rPr>
                <w:rFonts w:ascii="Consolas" w:cs="Consolas" w:eastAsia="Consolas" w:hAnsi="Consolas"/>
                <w:sz w:val="17"/>
                <w:szCs w:val="17"/>
              </w:rPr>
              <w:t xml:space="preserve">activity_email_notify = True</w:t>
            </w:r>
            <w:r>
              <w:rPr>
                <w:sz w:val="18"/>
                <w:szCs w:val="18"/>
              </w:rPr>
              <w:t xml:space="preserve">, then calls super() on that reduced set. Assignees who opted out are dropped before core sends any email.</w:t>
            </w:r>
          </w:p>
        </w:tc>
      </w:tr>
    </w:tbl>
    <w:p>
      <w:pPr>
        <w:pBdr>
          <w:left w:val="single" w:color="E0A100" w:sz="18" w:space="8"/>
        </w:pBdr>
        <w:shd w:fill="FFF6E5" w:val="clear"/>
        <w:spacing w:after="140" w:before="100" w:line="260"/>
      </w:pPr>
      <w:r>
        <w:rPr>
          <w:b/>
          <w:bCs/>
          <w:color w:val="9A6E00"/>
          <w:sz w:val="19"/>
          <w:szCs w:val="19"/>
        </w:rPr>
        <w:t xml:space="preserve">Note  </w:t>
      </w:r>
      <w:r>
        <w:rPr>
          <w:rFonts w:ascii="Consolas" w:cs="Consolas" w:eastAsia="Consolas" w:hAnsi="Consolas"/>
          <w:sz w:val="19"/>
          <w:szCs w:val="19"/>
        </w:rPr>
        <w:t xml:space="preserve">action_notify</w:t>
      </w:r>
      <w:r>
        <w:t xml:space="preserve"> is the single method core calls to email the assignee (from </w:t>
      </w:r>
      <w:r>
        <w:rPr>
          <w:rFonts w:ascii="Consolas" w:cs="Consolas" w:eastAsia="Consolas" w:hAnsi="Consolas"/>
          <w:sz w:val="19"/>
          <w:szCs w:val="19"/>
        </w:rPr>
        <w:t xml:space="preserve">mail.activity.create</w:t>
      </w:r>
      <w:r>
        <w:t xml:space="preserve"> / </w:t>
      </w:r>
      <w:r>
        <w:rPr>
          <w:rFonts w:ascii="Consolas" w:cs="Consolas" w:eastAsia="Consolas" w:hAnsi="Consolas"/>
          <w:sz w:val="19"/>
          <w:szCs w:val="19"/>
        </w:rPr>
        <w:t xml:space="preserve">write</w:t>
      </w:r>
      <w:r>
        <w:t xml:space="preserve">). Because the override filters the recordset and defers to super, it stays behaviour-compatible with any other module that also extends </w:t>
      </w:r>
      <w:r>
        <w:rPr>
          <w:rFonts w:ascii="Consolas" w:cs="Consolas" w:eastAsia="Consolas" w:hAnsi="Consolas"/>
          <w:sz w:val="19"/>
          <w:szCs w:val="19"/>
        </w:rPr>
        <w:t xml:space="preserve">action_notify</w:t>
      </w:r>
      <w:r>
        <w:t xml:space="preserve">.</w:t>
      </w:r>
    </w:p>
    <w:p>
      <w:pPr>
        <w:pStyle w:val="Heading1"/>
        <w:spacing w:after="140" w:before="320"/>
      </w:pPr>
      <w:r>
        <w:rPr>
          <w:b/>
          <w:bCs/>
          <w:color w:val="2E5A8C"/>
          <w:sz w:val="30"/>
          <w:szCs w:val="30"/>
        </w:rPr>
        <w:t xml:space="preserve">4. Views</w:t>
      </w:r>
    </w:p>
    <w:p>
      <w:pPr>
        <w:spacing w:after="120" w:line="264"/>
      </w:pPr>
      <w:r>
        <w:rPr>
          <w:rFonts w:ascii="Consolas" w:cs="Consolas" w:eastAsia="Consolas" w:hAnsi="Consolas"/>
          <w:sz w:val="19"/>
          <w:szCs w:val="19"/>
        </w:rPr>
        <w:t xml:space="preserve">views/res_users_views.xml</w:t>
      </w:r>
      <w:r>
        <w:t xml:space="preserve"> injects the </w:t>
      </w:r>
      <w:r>
        <w:rPr>
          <w:rFonts w:ascii="Consolas" w:cs="Consolas" w:eastAsia="Consolas" w:hAnsi="Consolas"/>
          <w:sz w:val="19"/>
          <w:szCs w:val="19"/>
        </w:rPr>
        <w:t xml:space="preserve">activity_email_notify</w:t>
      </w:r>
      <w:r>
        <w:t xml:space="preserve"> field in two places:</w:t>
      </w:r>
    </w:p>
    <w:p>
      <w:pPr>
        <w:pStyle w:val="ListParagraph"/>
        <w:numPr>
          <w:ilvl w:val="0"/>
          <w:numId w:val="1"/>
        </w:numPr>
        <w:spacing w:after="60" w:line="260"/>
      </w:pPr>
      <w:r>
        <w:t xml:space="preserve">The user's own Preferences dialog (My Profile) — inherits </w:t>
      </w:r>
      <w:r>
        <w:rPr>
          <w:rFonts w:ascii="Consolas" w:cs="Consolas" w:eastAsia="Consolas" w:hAnsi="Consolas"/>
          <w:sz w:val="19"/>
          <w:szCs w:val="19"/>
        </w:rPr>
        <w:t xml:space="preserve">base.view_users_form_simple_modif</w:t>
      </w:r>
      <w:r>
        <w:t xml:space="preserve">, placed after the email field.</w:t>
      </w:r>
    </w:p>
    <w:p>
      <w:pPr>
        <w:pStyle w:val="ListParagraph"/>
        <w:numPr>
          <w:ilvl w:val="0"/>
          <w:numId w:val="1"/>
        </w:numPr>
        <w:spacing w:after="60" w:line="260"/>
      </w:pPr>
      <w:r>
        <w:t xml:space="preserve">The full Settings → Users admin form — inherits </w:t>
      </w:r>
      <w:r>
        <w:rPr>
          <w:rFonts w:ascii="Consolas" w:cs="Consolas" w:eastAsia="Consolas" w:hAnsi="Consolas"/>
          <w:sz w:val="19"/>
          <w:szCs w:val="19"/>
        </w:rPr>
        <w:t xml:space="preserve">base.view_users_form</w:t>
      </w:r>
      <w:r>
        <w:t xml:space="preserve">, placed after the company field.</w:t>
      </w:r>
    </w:p>
    <w:p>
      <w:pPr>
        <w:pStyle w:val="Heading1"/>
        <w:spacing w:after="140" w:before="320"/>
      </w:pPr>
      <w:r>
        <w:rPr>
          <w:b/>
          <w:bCs/>
          <w:color w:val="2E5A8C"/>
          <w:sz w:val="30"/>
          <w:szCs w:val="30"/>
        </w:rPr>
        <w:t xml:space="preserve">5. Core integration points</w:t>
      </w:r>
    </w:p>
    <w:p>
      <w:pPr>
        <w:spacing w:after="120" w:line="264"/>
      </w:pPr>
      <w:r>
        <w:t xml:space="preserve">The module hooks the following core elements. These are the surfaces to re-verify after any core upgrade: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4680"/>
        <w:gridCol w:w="4680"/>
      </w:tblGrid>
      <w:tr>
        <w:trPr>
          <w:tblHeader/>
        </w:trPr>
        <w:tc>
          <w:tcPr>
            <w:tcW w:type="dxa" w:w="4680"/>
            <w:shd w:fill="EAF0F7" w:val="clear"/>
            <w:tcMar>
              <w:top w:type="dxa" w:w="40"/>
              <w:left w:type="dxa" w:w="90"/>
              <w:bottom w:type="dxa" w:w="40"/>
              <w:right w:type="dxa" w:w="90"/>
            </w:tcMar>
          </w:tcPr>
          <w:p>
            <w:r>
              <w:rPr>
                <w:b/>
                <w:bCs/>
                <w:color w:val="1F3D5C"/>
                <w:sz w:val="19"/>
                <w:szCs w:val="19"/>
              </w:rPr>
              <w:t xml:space="preserve">Core element</w:t>
            </w:r>
          </w:p>
        </w:tc>
        <w:tc>
          <w:tcPr>
            <w:tcW w:type="dxa" w:w="4680"/>
            <w:shd w:fill="EAF0F7" w:val="clear"/>
            <w:tcMar>
              <w:top w:type="dxa" w:w="40"/>
              <w:left w:type="dxa" w:w="90"/>
              <w:bottom w:type="dxa" w:w="40"/>
              <w:right w:type="dxa" w:w="90"/>
            </w:tcMar>
          </w:tcPr>
          <w:p>
            <w:r>
              <w:rPr>
                <w:b/>
                <w:bCs/>
                <w:color w:val="1F3D5C"/>
                <w:sz w:val="19"/>
                <w:szCs w:val="19"/>
              </w:rPr>
              <w:t xml:space="preserve">How it is used</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mail.activity.action_notify</w:t>
            </w:r>
          </w:p>
        </w:tc>
        <w:tc>
          <w:tcPr>
            <w:tcW w:type="dxa" w:w="4680"/>
            <w:tcMar>
              <w:top w:type="dxa" w:w="30"/>
              <w:left w:type="dxa" w:w="90"/>
              <w:bottom w:type="dxa" w:w="30"/>
              <w:right w:type="dxa" w:w="90"/>
            </w:tcMar>
          </w:tcPr>
          <w:p>
            <w:pPr>
              <w:spacing w:after="0" w:line="240"/>
            </w:pPr>
            <w:r>
              <w:rPr>
                <w:sz w:val="18"/>
                <w:szCs w:val="18"/>
              </w:rPr>
              <w:t xml:space="preserve">Overridden to filter opted-out assignees.</w:t>
            </w:r>
          </w:p>
        </w:tc>
      </w:tr>
      <w:tr>
        <w:tc>
          <w:tcPr>
            <w:tcW w:type="dxa" w:w="4680"/>
            <w:shd w:fill="F5F8FB" w:val="clear"/>
            <w:tcMar>
              <w:top w:type="dxa" w:w="30"/>
              <w:left w:type="dxa" w:w="90"/>
              <w:bottom w:type="dxa" w:w="30"/>
              <w:right w:type="dxa" w:w="90"/>
            </w:tcMar>
          </w:tcPr>
          <w:p>
            <w:pPr>
              <w:spacing w:after="0" w:line="240"/>
            </w:pPr>
            <w:r>
              <w:rPr>
                <w:rFonts w:ascii="Consolas" w:cs="Consolas" w:eastAsia="Consolas" w:hAnsi="Consolas"/>
                <w:sz w:val="17"/>
                <w:szCs w:val="17"/>
              </w:rPr>
              <w:t xml:space="preserve">res.users.SELF_READABLE_FIELDS</w:t>
            </w:r>
            <w:r>
              <w:rPr>
                <w:sz w:val="18"/>
                <w:szCs w:val="18"/>
              </w:rPr>
              <w:t xml:space="preserve"> / </w:t>
            </w:r>
            <w:r>
              <w:rPr>
                <w:rFonts w:ascii="Consolas" w:cs="Consolas" w:eastAsia="Consolas" w:hAnsi="Consolas"/>
                <w:sz w:val="17"/>
                <w:szCs w:val="17"/>
              </w:rPr>
              <w:t xml:space="preserve">SELF_WRITEABLE_FIELDS</w:t>
            </w:r>
          </w:p>
        </w:tc>
        <w:tc>
          <w:tcPr>
            <w:tcW w:type="dxa" w:w="4680"/>
            <w:shd w:fill="F5F8FB" w:val="clear"/>
            <w:tcMar>
              <w:top w:type="dxa" w:w="30"/>
              <w:left w:type="dxa" w:w="90"/>
              <w:bottom w:type="dxa" w:w="30"/>
              <w:right w:type="dxa" w:w="90"/>
            </w:tcMar>
          </w:tcPr>
          <w:p>
            <w:pPr>
              <w:spacing w:after="0" w:line="240"/>
            </w:pPr>
            <w:r>
              <w:rPr>
                <w:sz w:val="18"/>
                <w:szCs w:val="18"/>
              </w:rPr>
              <w:t xml:space="preserve">Extended via property to expose the preference to self-service editing.</w:t>
            </w:r>
          </w:p>
        </w:tc>
      </w:tr>
      <w:tr>
        <w:tc>
          <w:tcPr>
            <w:tcW w:type="dxa" w:w="4680"/>
            <w:tcMar>
              <w:top w:type="dxa" w:w="30"/>
              <w:left w:type="dxa" w:w="90"/>
              <w:bottom w:type="dxa" w:w="30"/>
              <w:right w:type="dxa" w:w="90"/>
            </w:tcMar>
          </w:tcPr>
          <w:p>
            <w:pPr>
              <w:spacing w:after="0" w:line="240"/>
            </w:pPr>
            <w:r>
              <w:rPr>
                <w:rFonts w:ascii="Consolas" w:cs="Consolas" w:eastAsia="Consolas" w:hAnsi="Consolas"/>
                <w:sz w:val="17"/>
                <w:szCs w:val="17"/>
              </w:rPr>
              <w:t xml:space="preserve">base.view_users_form_simple_modif</w:t>
            </w:r>
            <w:r>
              <w:rPr>
                <w:sz w:val="18"/>
                <w:szCs w:val="18"/>
              </w:rPr>
              <w:t xml:space="preserve">, </w:t>
            </w:r>
            <w:r>
              <w:rPr>
                <w:rFonts w:ascii="Consolas" w:cs="Consolas" w:eastAsia="Consolas" w:hAnsi="Consolas"/>
                <w:sz w:val="17"/>
                <w:szCs w:val="17"/>
              </w:rPr>
              <w:t xml:space="preserve">base.view_users_form</w:t>
            </w:r>
          </w:p>
        </w:tc>
        <w:tc>
          <w:tcPr>
            <w:tcW w:type="dxa" w:w="4680"/>
            <w:tcMar>
              <w:top w:type="dxa" w:w="30"/>
              <w:left w:type="dxa" w:w="90"/>
              <w:bottom w:type="dxa" w:w="30"/>
              <w:right w:type="dxa" w:w="90"/>
            </w:tcMar>
          </w:tcPr>
          <w:p>
            <w:pPr>
              <w:spacing w:after="0" w:line="240"/>
            </w:pPr>
            <w:r>
              <w:rPr>
                <w:sz w:val="18"/>
                <w:szCs w:val="18"/>
              </w:rPr>
              <w:t xml:space="preserve">Inherited to place the field.</w:t>
            </w:r>
          </w:p>
        </w:tc>
      </w:tr>
    </w:tbl>
    <w:p>
      <w:pPr>
        <w:pStyle w:val="Heading1"/>
        <w:spacing w:after="140" w:before="320"/>
      </w:pPr>
      <w:r>
        <w:rPr>
          <w:b/>
          <w:bCs/>
          <w:color w:val="2E5A8C"/>
          <w:sz w:val="30"/>
          <w:szCs w:val="30"/>
        </w:rPr>
        <w:t xml:space="preserve">6. File map</w:t>
      </w:r>
    </w:p>
    <w:p>
      <w:pPr>
        <w:pStyle w:val="ListParagraph"/>
        <w:numPr>
          <w:ilvl w:val="0"/>
          <w:numId w:val="1"/>
        </w:numPr>
        <w:spacing w:after="60" w:line="260"/>
      </w:pPr>
      <w:r>
        <w:rPr>
          <w:rFonts w:ascii="Consolas" w:cs="Consolas" w:eastAsia="Consolas" w:hAnsi="Consolas"/>
          <w:sz w:val="19"/>
          <w:szCs w:val="19"/>
        </w:rPr>
        <w:t xml:space="preserve">models/res_users.py</w:t>
      </w:r>
      <w:r>
        <w:t xml:space="preserve"> — the preference field + self read/write exposure.</w:t>
      </w:r>
    </w:p>
    <w:p>
      <w:pPr>
        <w:pStyle w:val="ListParagraph"/>
        <w:numPr>
          <w:ilvl w:val="0"/>
          <w:numId w:val="1"/>
        </w:numPr>
        <w:spacing w:after="60" w:line="260"/>
      </w:pPr>
      <w:r>
        <w:rPr>
          <w:rFonts w:ascii="Consolas" w:cs="Consolas" w:eastAsia="Consolas" w:hAnsi="Consolas"/>
          <w:sz w:val="19"/>
          <w:szCs w:val="19"/>
        </w:rPr>
        <w:t xml:space="preserve">models/mail_activity.py</w:t>
      </w:r>
      <w:r>
        <w:t xml:space="preserve"> — the </w:t>
      </w:r>
      <w:r>
        <w:rPr>
          <w:rFonts w:ascii="Consolas" w:cs="Consolas" w:eastAsia="Consolas" w:hAnsi="Consolas"/>
          <w:sz w:val="19"/>
          <w:szCs w:val="19"/>
        </w:rPr>
        <w:t xml:space="preserve">action_notify</w:t>
      </w:r>
      <w:r>
        <w:t xml:space="preserve"> filter.</w:t>
      </w:r>
    </w:p>
    <w:p>
      <w:pPr>
        <w:pStyle w:val="ListParagraph"/>
        <w:numPr>
          <w:ilvl w:val="0"/>
          <w:numId w:val="1"/>
        </w:numPr>
        <w:spacing w:after="60" w:line="260"/>
      </w:pPr>
      <w:r>
        <w:rPr>
          <w:rFonts w:ascii="Consolas" w:cs="Consolas" w:eastAsia="Consolas" w:hAnsi="Consolas"/>
          <w:sz w:val="19"/>
          <w:szCs w:val="19"/>
        </w:rPr>
        <w:t xml:space="preserve">views/res_users_views.xml</w:t>
      </w:r>
      <w:r>
        <w:t xml:space="preserve"> — the two form inheritances.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R-E-A-L.iT Odoo 17 custom modules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color w:val="999999"/>
        <w:sz w:val="16"/>
        <w:szCs w:val="16"/>
      </w:rPr>
      <w:t xml:space="preserve">ProActivity Notify Preferences  ·  pro_activity_notify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5A8C"/>
      <w:sz w:val="30"/>
      <w:szCs w:val="30"/>
    </w:rPr>
  </w:style>
  <w:style w:type="paragraph" w:styleId="Heading2">
    <w:name w:val="Heading 2"/>
    <w:basedOn w:val="Normal"/>
    <w:next w:val="Normal"/>
    <w:qFormat/>
    <w:rPr>
      <w:b/>
      <w:bCs/>
      <w:color w:val="1F3D5C"/>
      <w:sz w:val="25"/>
      <w:szCs w:val="25"/>
    </w:rPr>
  </w:style>
  <w:style w:type="paragraph" w:styleId="Heading3">
    <w:name w:val="Heading 3"/>
    <w:basedOn w:val="Normal"/>
    <w:next w:val="Normal"/>
    <w:qFormat/>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ProActivity Notify Preferences</dc:title>
  <dc:creator>R-E-A-L.iT — Module Documentation</dc:creator>
  <dc:description>Per-user opt-out for activity assignment emails</dc:description>
  <cp:lastModifiedBy>Un-named</cp:lastModifiedBy>
  <cp:revision>1</cp:revision>
  <dcterms:created xsi:type="dcterms:W3CDTF">2026-07-20T12:24:42.197Z</dcterms:created>
  <dcterms:modified xsi:type="dcterms:W3CDTF">2026-07-20T12:24:42.197Z</dcterms:modified>
</cp:coreProperties>
</file>

<file path=docProps/custom.xml><?xml version="1.0" encoding="utf-8"?>
<Properties xmlns="http://schemas.openxmlformats.org/officeDocument/2006/custom-properties" xmlns:vt="http://schemas.openxmlformats.org/officeDocument/2006/docPropsVTypes"/>
</file>