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b/>
          <w:bCs/>
          <w:color w:val="2E5A8C"/>
          <w:sz w:val="52"/>
          <w:szCs w:val="52"/>
        </w:rPr>
        <w:t xml:space="preserve">ProSync</w:t>
      </w:r>
    </w:p>
    <w:p>
      <w:pPr>
        <w:spacing w:after="200"/>
        <w:jc w:val="center"/>
      </w:pPr>
      <w:r>
        <w:rPr>
          <w:rFonts w:ascii="Consolas" w:cs="Consolas" w:eastAsia="Consolas" w:hAnsi="Consolas"/>
          <w:i/>
          <w:iCs/>
          <w:color w:val="666666"/>
          <w:sz w:val="26"/>
          <w:szCs w:val="26"/>
        </w:rPr>
        <w:t xml:space="preserve">prosync</w:t>
      </w:r>
    </w:p>
    <w:p>
      <w:pPr>
        <w:spacing w:after="500"/>
        <w:jc w:val="center"/>
      </w:pPr>
      <w:r>
        <w:rPr>
          <w:color w:val="444444"/>
          <w:sz w:val="24"/>
          <w:szCs w:val="24"/>
        </w:rPr>
        <w:t xml:space="preserve">Configuration-driven Google Sheets → Odoo synchronisation engine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DDDDDD" w:sz="2"/>
          <w:insideV w:val="none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Technical name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prosync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Author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Ezekiel deBlois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License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LGPL-3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Category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Technical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Odoo series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 (documented for a 17 → 18 upgrade review)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Depends 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base, proportal, product, mrp, google_account, proquotes</w:t>
            </w:r>
          </w:p>
        </w:tc>
      </w:tr>
    </w:tbl>
    <w:p>
      <w:r>
        <w:br w:type="page"/>
      </w:r>
    </w:p>
    <w:p>
      <w:pPr>
        <w:spacing w:after="140"/>
      </w:pPr>
      <w:r>
        <w:rPr>
          <w:b/>
          <w:bCs/>
          <w:color w:val="2E5A8C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1. Overview</w:t>
      </w:r>
    </w:p>
    <w:p>
      <w:pPr>
        <w:spacing w:after="120" w:line="264"/>
      </w:pPr>
      <w:r>
        <w:t xml:space="preserve">A data-integration engine that reads master data from Google Sheets and upserts it into Odoo. A driver sheet (ODOO_CONFIGURATION tab) lists the data tabs to process, their type, and a scheduled date; each tab is handled by a dedicated syncer (products, stock/lots, contacts, BOMs, BOM lines). Column headers carry a small DSL for language/related/special/pricelist handling, and every run writes a ProSync report with success/warning/error detail.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2. Data model &amp; fields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prosync.sync (new — orchestration)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Method / Hook</w:t>
            </w:r>
          </w:p>
        </w:tc>
        <w:tc>
          <w:tcPr>
            <w:tcW w:type="dxa" w:w="63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get_master_database_template_id(db_name)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Chooses the production or development sheet id (system parameters) based on the database URL.</w:t>
            </w:r>
          </w:p>
        </w:tc>
      </w:tr>
      <w:tr>
        <w:tc>
          <w:tcPr>
            <w:tcW w:type="dxa" w:w="30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establish_sheets_connection() / get_worksheet_by_name()</w:t>
            </w:r>
          </w:p>
        </w:tc>
        <w:tc>
          <w:tcPr>
            <w:tcW w:type="dxa" w:w="63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Authorise with a Google service-account key (gspread/oauth2client) and fetch a worksheet by name (order-independent; warns if the configured INDEX drifts).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start_sync_process(pw)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Reads the ODOO_CONFIGURATION tab row by row, validates each (valid/continue/date), then dispatches to the matching syncer by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sheet_type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prosync.report (new — run log)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Selection success/warning/failure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Overall outcome.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sync_type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Selection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product_template / rental_price / stock_lot / res_partner / mrp_bom / mrp_bom_line / product_product.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start_time / end_time / duration / sync_date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Datetime/Float/Date (computed)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Timing.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report_text / warning_text / error_text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Html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Per-item detail.</w:t>
            </w:r>
          </w:p>
        </w:tc>
      </w:tr>
    </w:tbl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Method / Hook</w:t>
            </w:r>
          </w:p>
        </w:tc>
        <w:tc>
          <w:tcPr>
            <w:tcW w:type="dxa" w:w="63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manual_trigger_prosync_schedule()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Manually fires the sync cron.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product.template (inherited)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sku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 (indexed)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Stock keeping unit (sync key).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discontinued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Marks discontinued products kept for backward compatibility.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res.partner (inherited)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pricelist_id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Many2one product.pricelist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Sync-managed pricelist; a compute mirrors it onto property_product_pricelist.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3. Syncers</w:t>
      </w:r>
    </w:p>
    <w:p>
      <w:pPr>
        <w:spacing w:after="120" w:line="264"/>
      </w:pPr>
      <w:r>
        <w:t xml:space="preserve">Each syncer (in </w:t>
      </w:r>
      <w:r>
        <w:rPr>
          <w:rFonts w:ascii="Consolas" w:cs="Consolas" w:eastAsia="Consolas" w:hAnsi="Consolas"/>
          <w:sz w:val="19"/>
          <w:szCs w:val="19"/>
        </w:rPr>
        <w:t xml:space="preserve">models/sync/</w:t>
      </w:r>
      <w:r>
        <w:t xml:space="preserve">) is a plain Python class that validates the sheet's required columns, iterates rows (respecting valid/continue flags), and creates/updates records, appending to updated/warning/error lists and writing a </w:t>
      </w:r>
      <w:r>
        <w:rPr>
          <w:rFonts w:ascii="Consolas" w:cs="Consolas" w:eastAsia="Consolas" w:hAnsi="Consolas"/>
          <w:sz w:val="19"/>
          <w:szCs w:val="19"/>
        </w:rPr>
        <w:t xml:space="preserve">prosync.report</w:t>
      </w:r>
      <w:r>
        <w:t xml:space="preserve">.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Syncer</w:t>
            </w:r>
          </w:p>
        </w:tc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product_template_sync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Products — fields, translations, and rental prices per pricelist.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stock_lot_sync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Serials/lots (CCP data).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res_partner_sync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Contacts.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mrp_bom_sync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Bills of materials (header).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mrp_bom_line_sync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BOM lines — also removes lines no longer present in the sheet (stale-line cleanup).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4. Column DSL (utilities.py)</w:t>
      </w:r>
    </w:p>
    <w:p>
      <w:pPr>
        <w:spacing w:after="120" w:line="264"/>
      </w:pPr>
      <w:r>
        <w:t xml:space="preserve">Header names may carry parameters that change how a cell is written. Handled by helpers in </w:t>
      </w:r>
      <w:r>
        <w:rPr>
          <w:rFonts w:ascii="Consolas" w:cs="Consolas" w:eastAsia="Consolas" w:hAnsi="Consolas"/>
          <w:sz w:val="19"/>
          <w:szCs w:val="19"/>
        </w:rPr>
        <w:t xml:space="preserve">utilities.py</w:t>
      </w:r>
      <w:r>
        <w:t xml:space="preserve"> plus a set of value normalisers (char/text/float/integer/bool/date/binary/selection):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Header syntax</w:t>
            </w:r>
          </w:p>
        </w:tc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field[language=xx_XX]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Writes the value in a specific language context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update_with_lang_context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field[related=path]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Resolves and writes a related/relational field by name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update_with_related_context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field[special=…]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Special-cased handling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update_with_special_context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price[pricelist=…]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price[CAD|USD]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Creates/updates pricelist rules, mapping currency→company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update_with_price_context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rental_price[pricelist=…]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Creates/updates rental pricelist rules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update_with_rental_price_context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5. Data, scheduled actions &amp; security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data/schedule.xml</w:t>
      </w:r>
      <w:r>
        <w:t xml:space="preserve"> — the </w:t>
      </w:r>
      <w:r>
        <w:rPr>
          <w:rFonts w:ascii="Consolas" w:cs="Consolas" w:eastAsia="Consolas" w:hAnsi="Consolas"/>
          <w:sz w:val="19"/>
          <w:szCs w:val="19"/>
        </w:rPr>
        <w:t xml:space="preserve">prosync_schedule</w:t>
      </w:r>
      <w:r>
        <w:t xml:space="preserve"> cron.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data/run_sync_action.xml</w:t>
      </w:r>
      <w:r>
        <w:t xml:space="preserve"> — server action to launch a sync.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System parameters: </w:t>
      </w:r>
      <w:r>
        <w:rPr>
          <w:rFonts w:ascii="Consolas" w:cs="Consolas" w:eastAsia="Consolas" w:hAnsi="Consolas"/>
          <w:sz w:val="19"/>
          <w:szCs w:val="19"/>
        </w:rPr>
        <w:t xml:space="preserve">prosync.production_sheet_id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prosync.development_sheet_id</w:t>
      </w:r>
      <w:r>
        <w:t xml:space="preserve">, and the Google service-account key JSON.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External Python deps: </w:t>
      </w:r>
      <w:r>
        <w:rPr>
          <w:rFonts w:ascii="Consolas" w:cs="Consolas" w:eastAsia="Consolas" w:hAnsi="Consolas"/>
          <w:sz w:val="19"/>
          <w:szCs w:val="19"/>
        </w:rPr>
        <w:t xml:space="preserve">gspread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oauth2client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security/ir.model.access.csv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views/*.xml</w:t>
      </w:r>
      <w:r>
        <w:t xml:space="preserve"> (report + product/partner/lot additions).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6. Core integration points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Core element</w:t>
            </w:r>
          </w:p>
        </w:tc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How it is used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product.template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res.partner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stock.lot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mrp.bom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mrp.bom.line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Written by the syncers (and extended).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product.pricelist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.item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Created/updated from sheet columns.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google_account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gspread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oauth2client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External Google Sheets access.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proproduct / proquotes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Depends on their fields (SKU, rental pricing, CCP).</w:t>
            </w:r>
          </w:p>
        </w:tc>
      </w:tr>
    </w:tbl>
    <w:p>
      <w:pPr>
        <w:pBdr>
          <w:left w:val="single" w:color="E0A100" w:sz="18" w:space="8"/>
        </w:pBdr>
        <w:shd w:fill="FFF6E5" w:val="clear"/>
        <w:spacing w:after="140" w:before="100" w:line="260"/>
      </w:pPr>
      <w:r>
        <w:rPr>
          <w:b/>
          <w:bCs/>
          <w:color w:val="9A6E00"/>
          <w:sz w:val="19"/>
          <w:szCs w:val="19"/>
        </w:rPr>
        <w:t xml:space="preserve">Note  </w:t>
      </w:r>
      <w:r>
        <w:t xml:space="preserve">The syncers use generic </w:t>
      </w:r>
      <w:r>
        <w:rPr>
          <w:rFonts w:ascii="Consolas" w:cs="Consolas" w:eastAsia="Consolas" w:hAnsi="Consolas"/>
          <w:sz w:val="19"/>
          <w:szCs w:val="19"/>
        </w:rPr>
        <w:t xml:space="preserve">env[...]</w:t>
      </w:r>
      <w:r>
        <w:t xml:space="preserve"> writes and reflection over </w:t>
      </w:r>
      <w:r>
        <w:rPr>
          <w:rFonts w:ascii="Consolas" w:cs="Consolas" w:eastAsia="Consolas" w:hAnsi="Consolas"/>
          <w:sz w:val="19"/>
          <w:szCs w:val="19"/>
        </w:rPr>
        <w:t xml:space="preserve">_fields</w:t>
      </w:r>
      <w:r>
        <w:t xml:space="preserve">, so they are relatively resilient to ORM changes, but they depend on field names defined by proportal/proproduct/proquotes (SKU, rental price, CCP). The main external risks are the gspread/oauth2client versions and the Google service-account credentials, not core Odoo.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7. File map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models/start_sync.py</w:t>
      </w:r>
      <w:r>
        <w:t xml:space="preserve"> — orchestration (prosync.sync).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models/prosync_report.py</w:t>
      </w:r>
      <w:r>
        <w:t xml:space="preserve"> — run reports.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models/models.py</w:t>
      </w:r>
      <w:r>
        <w:t xml:space="preserve"> — product/partner sync fields.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models/sync/*.py</w:t>
      </w:r>
      <w:r>
        <w:t xml:space="preserve"> — the five syncers.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models/utilities.py</w:t>
      </w:r>
      <w:r>
        <w:t xml:space="preserve"> — normalisers + column DSL.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data/schedule.xml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data/run_sync_action.xml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security/…csv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views/*.xml</w:t>
      </w:r>
      <w:r>
        <w:t xml:space="preserve">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R-E-A-L.iT Odoo 17 custom modules  ·  </w:t>
    </w:r>
    <w:r>
      <w:rPr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color w:val="999999"/>
        <w:sz w:val="16"/>
        <w:szCs w:val="16"/>
      </w:rPr>
      <w:t xml:space="preserve">ProSync  ·  prosync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2E5A8C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F3D5C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ProSync</dc:title>
  <dc:creator>R-E-A-L.iT — Module Documentation</dc:creator>
  <dc:description>Configuration-driven Google Sheets → Odoo synchronisation engine</dc:description>
  <cp:lastModifiedBy>Un-named</cp:lastModifiedBy>
  <cp:revision>1</cp:revision>
  <dcterms:created xsi:type="dcterms:W3CDTF">2026-07-20T12:34:09.581Z</dcterms:created>
  <dcterms:modified xsi:type="dcterms:W3CDTF">2026-07-20T12:34:09.581Z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