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ProWebsite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prowebsite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Website front-end features: 3D product viewers, lead-capture forms, mega-menu, pricelist switcher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prowebsite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Ézékiel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Technical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website_sale, crm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front-end helper module that layers custom website behaviour on top of website_sale. It has no persistent Odoo models; instead it provides a set of public JSON controllers that turn website interactions into CRM opportunities and mailing-list signups, plus a large bundle of front-end JavaScript/CSS delivering interactive product pages (Three.js 3D viewers, scroll-scrubbed models, mega-menu dropdowns, image galleries, and demo/lead request forms).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Controllers (public JSON endpoints)</w:t>
      </w:r>
    </w:p>
    <w:p>
      <w:pPr>
        <w:spacing w:after="120" w:line="264"/>
      </w:pPr>
      <w:r>
        <w:t xml:space="preserve">All routes are </w:t>
      </w:r>
      <w:r>
        <w:rPr>
          <w:rFonts w:ascii="Consolas" w:cs="Consolas" w:eastAsia="Consolas" w:hAnsi="Consolas"/>
          <w:sz w:val="19"/>
          <w:szCs w:val="19"/>
        </w:rPr>
        <w:t xml:space="preserve">type='json', auth='public', website=True, csrf=False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ProwebsiteController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controllers/main.py</w:t>
      </w:r>
      <w:r>
        <w:t xml:space="preserve">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Route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/omnigo/sync_pricelist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Reports the resolved pricelist (from proproduct region logic) and aligns the current cart's pricelist, without mutating the session; feeds the header currency badge.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/omnigo/get_pricelists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Returns the CA/US pricelists (resolved by flag-emoji name) for the header currency switcher, marking the active region.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/dereks_red_book/submit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Creates a CRM opportunity from a "Derek's Red Book" scanner-valuation request (round-robin salesperson), remembering the created lead id in the session.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/dereks_red_book/attach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Attaches a client-rendered PDF valuation report to the lead — but only to a lead created by the same browser session (guards: PDF magic bytes, 15 MB cap).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/rtc_demo/submit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Creates a CRM opportunity from an RTC demo-request form, assigned round-robin to the Sales team.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/product_demo/submit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Generic product demo/lead request → CRM opportunity, titled by the product enquired about (reusable form block for any product page).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/prowebsite/notify_signup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Subscribes a visitor to a whitelisted pre-launch mailing list (keyed by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list_key</w:t>
            </w:r>
            <w:r>
              <w:rPr>
                <w:sz w:val="18"/>
                <w:szCs w:val="18"/>
              </w:rPr>
              <w:t xml:space="preserve">, never a raw list id).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Salesperson / team routing helpers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_drb_resolve_team() / _sales_team()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Resolve the target CRM team (website default team, then name match 'website'/'Sales', then first team) defensively so a rename can't misroute leads.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_drb_pick_salesperson(team)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Round-robin: picks the team member currently carrying the fewest leads.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Business constants live at module top: CAD/USD pricelists are named by flag emojis (🇨🇦 / 🇺🇸), and </w:t>
      </w:r>
      <w:r>
        <w:rPr>
          <w:rFonts w:ascii="Consolas" w:cs="Consolas" w:eastAsia="Consolas" w:hAnsi="Consolas"/>
          <w:sz w:val="19"/>
          <w:szCs w:val="19"/>
        </w:rPr>
        <w:t xml:space="preserve">NOTIFY_SIGNUP_LISTS</w:t>
      </w:r>
      <w:r>
        <w:t xml:space="preserve"> whitelists which mailing.list ids the signup endpoint may use (e.g. </w:t>
      </w:r>
      <w:r>
        <w:rPr>
          <w:rFonts w:ascii="Consolas" w:cs="Consolas" w:eastAsia="Consolas" w:hAnsi="Consolas"/>
          <w:sz w:val="19"/>
          <w:szCs w:val="19"/>
        </w:rPr>
        <w:t xml:space="preserve">omni360 → 21</w:t>
      </w:r>
      <w:r>
        <w:t xml:space="preserve">). Email is validated with a simple regex.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Front-end assets (web.assets_frontend)</w:t>
      </w:r>
    </w:p>
    <w:p>
      <w:pPr>
        <w:spacing w:after="120" w:line="264"/>
      </w:pPr>
      <w:r>
        <w:t xml:space="preserve">The heavy lifting is in </w:t>
      </w:r>
      <w:r>
        <w:rPr>
          <w:rFonts w:ascii="Consolas" w:cs="Consolas" w:eastAsia="Consolas" w:hAnsi="Consolas"/>
          <w:sz w:val="19"/>
          <w:szCs w:val="19"/>
        </w:rPr>
        <w:t xml:space="preserve">static/src/js</w:t>
      </w:r>
      <w:r>
        <w:t xml:space="preserve"> (plus matching CSS). Key scripts: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Script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three_product.js</w:t>
            </w:r>
            <w:r>
              <w:rPr>
                <w:sz w:val="18"/>
                <w:szCs w:val="18"/>
              </w:rPr>
              <w:t xml:space="preserve"> (~2000 lines)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shared Three.js engine for "OmniGO-template" product pages: hero model, split-section model, and a scroll-scrubbed hotspot model. Products opt in via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data-product</w:t>
            </w:r>
            <w:r>
              <w:rPr>
                <w:sz w:val="18"/>
                <w:szCs w:val="18"/>
              </w:rPr>
              <w:t xml:space="preserve"> attribute 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#wrap</w:t>
            </w:r>
            <w:r>
              <w:rPr>
                <w:sz w:val="18"/>
                <w:szCs w:val="18"/>
              </w:rPr>
              <w:t xml:space="preserve">; per-product GLB sets and header branding come from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PRODUCT_CONFIG</w:t>
            </w:r>
            <w:r>
              <w:rPr>
                <w:sz w:val="18"/>
                <w:szCs w:val="18"/>
              </w:rPr>
              <w:t xml:space="preserve"> map (omnigo, omni360, …). Also wires the live price badge via the pricelist endpoints.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rtc_scroll_model.js</w:t>
            </w:r>
            <w:r>
              <w:rPr>
                <w:sz w:val="18"/>
                <w:szCs w:val="18"/>
              </w:rPr>
              <w:t xml:space="preserve"> (~540 lines)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Self-contained scroll-scrubbed 3D scene for the RTC series page (animated GLB, four localized feature callouts, en/fr_CA/es_ES copy). Keyed to its own canvas id so three_product.js ignores it.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header_dropdowns.js</w:t>
            </w:r>
            <w:r>
              <w:rPr>
                <w:sz w:val="18"/>
                <w:szCs w:val="18"/>
              </w:rPr>
              <w:t xml:space="preserve"> (~570 lines)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Rebuilds the top-nav menus into a custom hover mega-bar, matching top-level labels case-insensitively across EN/FR/ES; also drives the currency/language switcher that sets 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pl_region</w:t>
            </w:r>
            <w:r>
              <w:rPr>
                <w:sz w:val="18"/>
                <w:szCs w:val="18"/>
              </w:rPr>
              <w:t xml:space="preserve"> cookie.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rtc_series.js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multimapper.js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Tabbed panels and thumbnail→main image galleries with auto-advance for the RTC and multi-mapper pages.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product_page.js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Appends the active currency code after the price on product detail pages (pure presentation, MutationObserver-based).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rtc_demo_request.js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product_lead.js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Demo/lead request forms: populate a Monday-based "week" selector, validate contact fields, and POST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/rtc_demo/submit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/product_demo/submit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crm.team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res.users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Leads created and routed by the controllers.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mailing.list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mailing.contact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Notify-me signups (uses only the stable list_ids public API to survive subscription-model renames).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website.get_current_pricelist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proproduct_region</w:t>
            </w:r>
            <w:r>
              <w:rPr>
                <w:sz w:val="18"/>
                <w:szCs w:val="18"/>
              </w:rPr>
              <w:t xml:space="preserve"> (from proproduct)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Pricelist/region resolution — tight coupling to the proproduct module.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Three.js r128 + GLB assets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3D rendering; large static assets under static/src/models.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Front-end coupling points to watch on upgrade: the mega-menu depends on the exact </w:t>
      </w:r>
      <w:r>
        <w:rPr>
          <w:rFonts w:ascii="Consolas" w:cs="Consolas" w:eastAsia="Consolas" w:hAnsi="Consolas"/>
          <w:sz w:val="19"/>
          <w:szCs w:val="19"/>
        </w:rPr>
        <w:t xml:space="preserve">#top_menu</w:t>
      </w:r>
      <w:r>
        <w:t xml:space="preserve"> markup, and the price/currency scripts depend on server-rendered price DOM (</w:t>
      </w:r>
      <w:r>
        <w:rPr>
          <w:rFonts w:ascii="Consolas" w:cs="Consolas" w:eastAsia="Consolas" w:hAnsi="Consolas"/>
          <w:sz w:val="19"/>
          <w:szCs w:val="19"/>
        </w:rPr>
        <w:t xml:space="preserve">[itemprop=priceCurrency]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.oe_price</w:t>
      </w:r>
      <w:r>
        <w:t xml:space="preserve">). These are website-theme dependent rather than ORM-dependent, so validate visually on the target version. The controllers themselves use stable model APIs and are low-risk.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controllers/main.py</w:t>
      </w:r>
      <w:r>
        <w:t xml:space="preserve"> — all seven public JSON endpoints + routing helpers.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static/src/js/*.js</w:t>
      </w:r>
      <w:r>
        <w:t xml:space="preserve"> — 3D viewers, mega-menu, galleries, forms (8 scripts).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static/src/css/*.css</w:t>
      </w:r>
      <w:r>
        <w:t xml:space="preserve"> — matching styles (10 stylesheets).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(No Python models and no data XML — assets-and-controllers only.)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ProWebsite  ·  prowebsite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ProWebsite</dc:title>
  <dc:creator>R-E-A-L.iT — Module Documentation</dc:creator>
  <dc:description>Website front-end features: 3D product viewers, lead-capture forms, mega-menu, pricelist switcher</dc:description>
  <cp:lastModifiedBy>Un-named</cp:lastModifiedBy>
  <cp:revision>1</cp:revision>
  <dcterms:created xsi:type="dcterms:W3CDTF">2026-07-20T12:34:09.469Z</dcterms:created>
  <dcterms:modified xsi:type="dcterms:W3CDTF">2026-07-20T12:34:09.469Z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