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642E0" w14:textId="192A8C9D" w:rsidR="00AA3BD8" w:rsidRPr="0033323D" w:rsidRDefault="00FB6E34">
      <w:pPr>
        <w:rPr>
          <w:rFonts w:ascii="Times New Roman" w:hAnsi="Times New Roman" w:cs="Times New Roman"/>
        </w:rPr>
      </w:pPr>
      <w:r w:rsidRPr="0033323D">
        <w:rPr>
          <w:rFonts w:ascii="Times New Roman" w:hAnsi="Times New Roman" w:cs="Times New Roman"/>
        </w:rPr>
        <w:t>Harris Waseem</w:t>
      </w:r>
      <w:r w:rsidR="00AD1E60">
        <w:rPr>
          <w:rFonts w:ascii="Times New Roman" w:hAnsi="Times New Roman" w:cs="Times New Roman"/>
        </w:rPr>
        <w:t>,</w:t>
      </w:r>
      <w:r w:rsidR="0014337C" w:rsidRPr="0033323D">
        <w:rPr>
          <w:rFonts w:ascii="Times New Roman" w:hAnsi="Times New Roman" w:cs="Times New Roman"/>
        </w:rPr>
        <w:t xml:space="preserve"> Harminder Singh</w:t>
      </w:r>
    </w:p>
    <w:p w14:paraId="3A1D7FE7" w14:textId="77777777" w:rsidR="0033323D" w:rsidRPr="00B804BB" w:rsidRDefault="0033323D" w:rsidP="0033323D">
      <w:pPr>
        <w:rPr>
          <w:rFonts w:ascii="Times New Roman" w:hAnsi="Times New Roman" w:cs="Times New Roman"/>
        </w:rPr>
      </w:pPr>
      <w:r w:rsidRPr="00B804BB">
        <w:rPr>
          <w:rFonts w:ascii="Times New Roman" w:hAnsi="Times New Roman" w:cs="Times New Roman"/>
        </w:rPr>
        <w:t>Ericka Scherenberg</w:t>
      </w:r>
    </w:p>
    <w:p w14:paraId="18C091EC" w14:textId="77777777" w:rsidR="0033323D" w:rsidRPr="00B804BB" w:rsidRDefault="0033323D" w:rsidP="0033323D">
      <w:pPr>
        <w:rPr>
          <w:rFonts w:ascii="Times New Roman" w:hAnsi="Times New Roman" w:cs="Times New Roman"/>
        </w:rPr>
      </w:pPr>
      <w:r w:rsidRPr="00B804BB">
        <w:rPr>
          <w:rFonts w:ascii="Times New Roman" w:hAnsi="Times New Roman" w:cs="Times New Roman"/>
        </w:rPr>
        <w:t>BUS 243</w:t>
      </w:r>
    </w:p>
    <w:p w14:paraId="5B3D3C2E" w14:textId="092AF11B" w:rsidR="00AA3BD8" w:rsidRDefault="0033323D">
      <w:pPr>
        <w:rPr>
          <w:rFonts w:ascii="Times New Roman" w:hAnsi="Times New Roman" w:cs="Times New Roman"/>
        </w:rPr>
      </w:pPr>
      <w:r>
        <w:rPr>
          <w:rFonts w:ascii="Times New Roman" w:hAnsi="Times New Roman" w:cs="Times New Roman"/>
        </w:rPr>
        <w:t>19</w:t>
      </w:r>
      <w:r w:rsidRPr="00B804BB">
        <w:rPr>
          <w:rFonts w:ascii="Times New Roman" w:hAnsi="Times New Roman" w:cs="Times New Roman"/>
        </w:rPr>
        <w:t xml:space="preserve"> </w:t>
      </w:r>
      <w:r>
        <w:rPr>
          <w:rFonts w:ascii="Times New Roman" w:hAnsi="Times New Roman" w:cs="Times New Roman"/>
        </w:rPr>
        <w:t>October</w:t>
      </w:r>
      <w:r w:rsidRPr="00B804BB">
        <w:rPr>
          <w:rFonts w:ascii="Times New Roman" w:hAnsi="Times New Roman" w:cs="Times New Roman"/>
        </w:rPr>
        <w:t xml:space="preserve"> 2025</w:t>
      </w:r>
    </w:p>
    <w:p w14:paraId="302BA705" w14:textId="77777777" w:rsidR="009A5DBF" w:rsidRDefault="009A5DBF">
      <w:pPr>
        <w:rPr>
          <w:rFonts w:ascii="Times New Roman" w:hAnsi="Times New Roman" w:cs="Times New Roman"/>
        </w:rPr>
      </w:pPr>
    </w:p>
    <w:p w14:paraId="62605E40" w14:textId="5ED7649D" w:rsidR="009C5CCA" w:rsidRPr="009C5CCA" w:rsidRDefault="006D33B8" w:rsidP="009C5C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3B8">
        <w:rPr>
          <w:rFonts w:ascii="Times New Roman" w:eastAsia="Times New Roman" w:hAnsi="Times New Roman" w:cs="Times New Roman"/>
          <w:b/>
          <w:bCs/>
          <w:color w:val="000000"/>
          <w:kern w:val="36"/>
          <w:sz w:val="48"/>
          <w:szCs w:val="48"/>
          <w14:ligatures w14:val="none"/>
        </w:rPr>
        <w:t>Marketing Plan – FINDEX (Financial Index Engine)</w:t>
      </w:r>
      <w:r w:rsidR="009C5CCA">
        <w:rPr>
          <w:rFonts w:ascii="Times New Roman" w:eastAsia="Times New Roman" w:hAnsi="Times New Roman" w:cs="Times New Roman"/>
          <w:b/>
          <w:bCs/>
          <w:color w:val="000000"/>
          <w:kern w:val="36"/>
          <w:sz w:val="48"/>
          <w:szCs w:val="48"/>
          <w14:ligatures w14:val="none"/>
        </w:rPr>
        <w:br/>
      </w:r>
    </w:p>
    <w:p w14:paraId="110173A7" w14:textId="77777777" w:rsidR="00813B4C" w:rsidRPr="00813B4C" w:rsidRDefault="00813B4C" w:rsidP="00813B4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13B4C">
        <w:rPr>
          <w:rFonts w:ascii="Times New Roman" w:eastAsia="Times New Roman" w:hAnsi="Times New Roman" w:cs="Times New Roman"/>
          <w:b/>
          <w:bCs/>
          <w:color w:val="000000"/>
          <w:kern w:val="0"/>
          <w:sz w:val="36"/>
          <w:szCs w:val="36"/>
          <w14:ligatures w14:val="none"/>
        </w:rPr>
        <w:t>1. Executive Summary</w:t>
      </w:r>
    </w:p>
    <w:p w14:paraId="333DF708" w14:textId="77777777" w:rsidR="00813B4C" w:rsidRPr="00813B4C" w:rsidRDefault="00813B4C" w:rsidP="00813B4C">
      <w:pPr>
        <w:spacing w:before="100" w:beforeAutospacing="1" w:after="100" w:afterAutospacing="1" w:line="240" w:lineRule="auto"/>
        <w:rPr>
          <w:rFonts w:ascii="Times New Roman" w:eastAsiaTheme="minorEastAsia" w:hAnsi="Times New Roman" w:cs="Times New Roman"/>
          <w:color w:val="000000"/>
          <w:kern w:val="0"/>
          <w14:ligatures w14:val="none"/>
        </w:rPr>
      </w:pPr>
      <w:r w:rsidRPr="00813B4C">
        <w:rPr>
          <w:rFonts w:ascii="Times New Roman" w:eastAsiaTheme="minorEastAsia" w:hAnsi="Times New Roman" w:cs="Times New Roman"/>
          <w:color w:val="000000"/>
          <w:kern w:val="0"/>
          <w14:ligatures w14:val="none"/>
        </w:rPr>
        <w:t>FINDEX is a SaaS-based Financial Article Aggregation and Indexing Engine designed to simplify access to financial information for individuals and businesses. Built with Python libraries and advanced data tokenization techniques, FINDEX collects financial news, articles, and reports, then processes this data by identifying correlated keywords and ranking relevant information for ease of use in real time.</w:t>
      </w:r>
    </w:p>
    <w:p w14:paraId="6B3ABC0E" w14:textId="77777777" w:rsidR="00813B4C" w:rsidRPr="00813B4C" w:rsidRDefault="00813B4C" w:rsidP="00813B4C">
      <w:pPr>
        <w:spacing w:before="100" w:beforeAutospacing="1" w:after="100" w:afterAutospacing="1" w:line="240" w:lineRule="auto"/>
        <w:rPr>
          <w:rFonts w:ascii="Times New Roman" w:eastAsiaTheme="minorEastAsia" w:hAnsi="Times New Roman" w:cs="Times New Roman"/>
          <w:color w:val="000000"/>
          <w:kern w:val="0"/>
          <w14:ligatures w14:val="none"/>
        </w:rPr>
      </w:pPr>
      <w:r w:rsidRPr="00813B4C">
        <w:rPr>
          <w:rFonts w:ascii="Times New Roman" w:eastAsiaTheme="minorEastAsia" w:hAnsi="Times New Roman" w:cs="Times New Roman"/>
          <w:color w:val="000000"/>
          <w:kern w:val="0"/>
          <w14:ligatures w14:val="none"/>
        </w:rPr>
        <w:t>The company positions itself as a cost-effective alternative to expensive platforms like Bloomberg Terminal. Unlike free services that often provide unstructured or overly general information, FINDEX strikes a balance by delivering </w:t>
      </w:r>
      <w:r w:rsidRPr="00813B4C">
        <w:rPr>
          <w:rFonts w:ascii="Times New Roman" w:eastAsiaTheme="minorEastAsia" w:hAnsi="Times New Roman" w:cs="Times New Roman"/>
          <w:b/>
          <w:bCs/>
          <w:color w:val="000000"/>
          <w:kern w:val="0"/>
          <w14:ligatures w14:val="none"/>
        </w:rPr>
        <w:t>curated, ranked, and accessible financial data</w:t>
      </w:r>
      <w:r w:rsidRPr="00813B4C">
        <w:rPr>
          <w:rFonts w:ascii="Times New Roman" w:eastAsiaTheme="minorEastAsia" w:hAnsi="Times New Roman" w:cs="Times New Roman"/>
          <w:color w:val="000000"/>
          <w:kern w:val="0"/>
          <w14:ligatures w14:val="none"/>
        </w:rPr>
        <w:t>.</w:t>
      </w:r>
    </w:p>
    <w:p w14:paraId="474D503C" w14:textId="4108FBC5" w:rsidR="00813B4C" w:rsidRPr="00813B4C" w:rsidRDefault="00813B4C" w:rsidP="00813B4C">
      <w:pPr>
        <w:spacing w:before="100" w:beforeAutospacing="1" w:after="100" w:afterAutospacing="1" w:line="240" w:lineRule="auto"/>
        <w:rPr>
          <w:rFonts w:ascii="Times New Roman" w:eastAsiaTheme="minorEastAsia" w:hAnsi="Times New Roman" w:cs="Times New Roman"/>
          <w:color w:val="000000"/>
          <w:kern w:val="0"/>
          <w14:ligatures w14:val="none"/>
        </w:rPr>
      </w:pPr>
      <w:r w:rsidRPr="00813B4C">
        <w:rPr>
          <w:rFonts w:ascii="Times New Roman" w:eastAsiaTheme="minorEastAsia" w:hAnsi="Times New Roman" w:cs="Times New Roman"/>
          <w:color w:val="000000"/>
          <w:kern w:val="0"/>
          <w14:ligatures w14:val="none"/>
        </w:rPr>
        <w:t xml:space="preserve">Our mission is </w:t>
      </w:r>
      <w:r w:rsidR="00364804">
        <w:rPr>
          <w:rFonts w:ascii="Times New Roman" w:eastAsiaTheme="minorEastAsia" w:hAnsi="Times New Roman" w:cs="Times New Roman"/>
          <w:color w:val="000000"/>
          <w:kern w:val="0"/>
          <w14:ligatures w14:val="none"/>
        </w:rPr>
        <w:t>t</w:t>
      </w:r>
      <w:r w:rsidR="00364804" w:rsidRPr="00364804">
        <w:rPr>
          <w:rFonts w:ascii="Times New Roman" w:eastAsiaTheme="minorEastAsia" w:hAnsi="Times New Roman" w:cs="Times New Roman"/>
          <w:color w:val="000000"/>
          <w:kern w:val="0"/>
          <w14:ligatures w14:val="none"/>
        </w:rPr>
        <w:t>o democratize access to financial information by delivering affordable, accurate, and actionable insights through a user-friendly SaaS platform, while improving financial awareness through transparent data presentation and contextual information</w:t>
      </w:r>
      <w:r w:rsidR="00364804">
        <w:rPr>
          <w:rFonts w:ascii="Times New Roman" w:eastAsiaTheme="minorEastAsia" w:hAnsi="Times New Roman" w:cs="Times New Roman"/>
          <w:color w:val="000000"/>
          <w:kern w:val="0"/>
          <w14:ligatures w14:val="none"/>
        </w:rPr>
        <w:t xml:space="preserve">. </w:t>
      </w:r>
      <w:r w:rsidRPr="00813B4C">
        <w:rPr>
          <w:rFonts w:ascii="Times New Roman" w:eastAsiaTheme="minorEastAsia" w:hAnsi="Times New Roman" w:cs="Times New Roman"/>
          <w:color w:val="000000"/>
          <w:kern w:val="0"/>
          <w14:ligatures w14:val="none"/>
        </w:rPr>
        <w:t>We will achieve this by offering both </w:t>
      </w:r>
      <w:r w:rsidRPr="00813B4C">
        <w:rPr>
          <w:rFonts w:ascii="Times New Roman" w:eastAsiaTheme="minorEastAsia" w:hAnsi="Times New Roman" w:cs="Times New Roman"/>
          <w:b/>
          <w:bCs/>
          <w:color w:val="000000"/>
          <w:kern w:val="0"/>
          <w14:ligatures w14:val="none"/>
        </w:rPr>
        <w:t>B2C</w:t>
      </w:r>
      <w:r w:rsidRPr="00813B4C">
        <w:rPr>
          <w:rFonts w:ascii="Times New Roman" w:eastAsiaTheme="minorEastAsia" w:hAnsi="Times New Roman" w:cs="Times New Roman"/>
          <w:color w:val="000000"/>
          <w:kern w:val="0"/>
          <w14:ligatures w14:val="none"/>
        </w:rPr>
        <w:t> and </w:t>
      </w:r>
      <w:r w:rsidRPr="00813B4C">
        <w:rPr>
          <w:rFonts w:ascii="Times New Roman" w:eastAsiaTheme="minorEastAsia" w:hAnsi="Times New Roman" w:cs="Times New Roman"/>
          <w:b/>
          <w:bCs/>
          <w:color w:val="000000"/>
          <w:kern w:val="0"/>
          <w14:ligatures w14:val="none"/>
        </w:rPr>
        <w:t>B2B</w:t>
      </w:r>
      <w:r w:rsidRPr="00813B4C">
        <w:rPr>
          <w:rFonts w:ascii="Times New Roman" w:eastAsiaTheme="minorEastAsia" w:hAnsi="Times New Roman" w:cs="Times New Roman"/>
          <w:color w:val="000000"/>
          <w:kern w:val="0"/>
          <w14:ligatures w14:val="none"/>
        </w:rPr>
        <w:t> packages, expanding functionality with portfolio recognition, targeted sector analysis, and customizable dashboards.</w:t>
      </w:r>
    </w:p>
    <w:p w14:paraId="7C0BDDE4" w14:textId="77777777" w:rsidR="00813B4C" w:rsidRPr="00813B4C" w:rsidRDefault="00813B4C" w:rsidP="00813B4C">
      <w:pPr>
        <w:spacing w:before="100" w:beforeAutospacing="1" w:after="100" w:afterAutospacing="1" w:line="240" w:lineRule="auto"/>
        <w:rPr>
          <w:rFonts w:ascii="Times New Roman" w:eastAsiaTheme="minorEastAsia" w:hAnsi="Times New Roman" w:cs="Times New Roman"/>
          <w:color w:val="000000"/>
          <w:kern w:val="0"/>
          <w14:ligatures w14:val="none"/>
        </w:rPr>
      </w:pPr>
      <w:r w:rsidRPr="00813B4C">
        <w:rPr>
          <w:rFonts w:ascii="Times New Roman" w:eastAsiaTheme="minorEastAsia" w:hAnsi="Times New Roman" w:cs="Times New Roman"/>
          <w:color w:val="000000"/>
          <w:kern w:val="0"/>
          <w14:ligatures w14:val="none"/>
        </w:rPr>
        <w:t xml:space="preserve">By emphasizing affordability, usability, and impartiality, FINDEX will capture underserved segments of the market such as individual investors, students, and small businesses, while also </w:t>
      </w:r>
      <w:proofErr w:type="gramStart"/>
      <w:r w:rsidRPr="00813B4C">
        <w:rPr>
          <w:rFonts w:ascii="Times New Roman" w:eastAsiaTheme="minorEastAsia" w:hAnsi="Times New Roman" w:cs="Times New Roman"/>
          <w:color w:val="000000"/>
          <w:kern w:val="0"/>
          <w14:ligatures w14:val="none"/>
        </w:rPr>
        <w:t>scaling to</w:t>
      </w:r>
      <w:proofErr w:type="gramEnd"/>
      <w:r w:rsidRPr="00813B4C">
        <w:rPr>
          <w:rFonts w:ascii="Times New Roman" w:eastAsiaTheme="minorEastAsia" w:hAnsi="Times New Roman" w:cs="Times New Roman"/>
          <w:color w:val="000000"/>
          <w:kern w:val="0"/>
          <w14:ligatures w14:val="none"/>
        </w:rPr>
        <w:t xml:space="preserve"> professional organizations through enterprise solutions.</w:t>
      </w:r>
    </w:p>
    <w:p w14:paraId="60CF5274" w14:textId="77777777" w:rsidR="004B5C2A" w:rsidRPr="00813B4C" w:rsidRDefault="004B5C2A" w:rsidP="00813B4C">
      <w:pPr>
        <w:spacing w:before="100" w:beforeAutospacing="1" w:after="100" w:afterAutospacing="1" w:line="240" w:lineRule="auto"/>
        <w:rPr>
          <w:rFonts w:ascii="Times New Roman" w:eastAsiaTheme="minorEastAsia" w:hAnsi="Times New Roman" w:cs="Times New Roman"/>
          <w:color w:val="000000"/>
          <w:kern w:val="0"/>
          <w14:ligatures w14:val="none"/>
        </w:rPr>
      </w:pPr>
    </w:p>
    <w:p w14:paraId="6C18AF37" w14:textId="77777777" w:rsidR="00784BFB" w:rsidRPr="00784BFB" w:rsidRDefault="00784BFB" w:rsidP="00784BF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84BFB">
        <w:rPr>
          <w:rFonts w:ascii="Times New Roman" w:eastAsia="Times New Roman" w:hAnsi="Times New Roman" w:cs="Times New Roman"/>
          <w:b/>
          <w:bCs/>
          <w:color w:val="000000"/>
          <w:kern w:val="0"/>
          <w:sz w:val="36"/>
          <w:szCs w:val="36"/>
          <w14:ligatures w14:val="none"/>
        </w:rPr>
        <w:t>2. Description of the Company</w:t>
      </w:r>
    </w:p>
    <w:p w14:paraId="0A06BB4F" w14:textId="77777777" w:rsidR="00784BFB" w:rsidRPr="00784BFB" w:rsidRDefault="00784BFB" w:rsidP="00784BFB">
      <w:pPr>
        <w:spacing w:before="100" w:beforeAutospacing="1" w:after="100" w:afterAutospacing="1" w:line="240" w:lineRule="auto"/>
        <w:rPr>
          <w:rFonts w:ascii="Times New Roman" w:eastAsiaTheme="minorEastAsia" w:hAnsi="Times New Roman" w:cs="Times New Roman"/>
          <w:color w:val="000000"/>
          <w:kern w:val="0"/>
          <w14:ligatures w14:val="none"/>
        </w:rPr>
      </w:pPr>
      <w:r w:rsidRPr="00784BFB">
        <w:rPr>
          <w:rFonts w:ascii="Times New Roman" w:eastAsiaTheme="minorEastAsia" w:hAnsi="Times New Roman" w:cs="Times New Roman"/>
          <w:color w:val="000000"/>
          <w:kern w:val="0"/>
          <w14:ligatures w14:val="none"/>
        </w:rPr>
        <w:t xml:space="preserve">Founded in 2025, FINDEX was created in response to the growing need for affordable, user-friendly financial analytics tools. Current market leaders such as Bloomberg and FactSet </w:t>
      </w:r>
      <w:r w:rsidRPr="00784BFB">
        <w:rPr>
          <w:rFonts w:ascii="Times New Roman" w:eastAsiaTheme="minorEastAsia" w:hAnsi="Times New Roman" w:cs="Times New Roman"/>
          <w:color w:val="000000"/>
          <w:kern w:val="0"/>
          <w14:ligatures w14:val="none"/>
        </w:rPr>
        <w:lastRenderedPageBreak/>
        <w:t>primarily serve large institutions with high subscription fees, leaving individual investors and small businesses without robust alternatives.</w:t>
      </w:r>
    </w:p>
    <w:p w14:paraId="3F4C6F96" w14:textId="77777777" w:rsidR="00784BFB" w:rsidRPr="00784BFB" w:rsidRDefault="00784BFB" w:rsidP="00784BFB">
      <w:pPr>
        <w:spacing w:before="100" w:beforeAutospacing="1" w:after="100" w:afterAutospacing="1" w:line="240" w:lineRule="auto"/>
        <w:rPr>
          <w:rFonts w:ascii="Times New Roman" w:eastAsiaTheme="minorEastAsia" w:hAnsi="Times New Roman" w:cs="Times New Roman"/>
          <w:color w:val="000000"/>
          <w:kern w:val="0"/>
          <w14:ligatures w14:val="none"/>
        </w:rPr>
      </w:pPr>
      <w:r w:rsidRPr="00784BFB">
        <w:rPr>
          <w:rFonts w:ascii="Times New Roman" w:eastAsiaTheme="minorEastAsia" w:hAnsi="Times New Roman" w:cs="Times New Roman"/>
          <w:color w:val="000000"/>
          <w:kern w:val="0"/>
          <w14:ligatures w14:val="none"/>
        </w:rPr>
        <w:t xml:space="preserve">FINDEX fills this gap </w:t>
      </w:r>
      <w:proofErr w:type="gramStart"/>
      <w:r w:rsidRPr="00784BFB">
        <w:rPr>
          <w:rFonts w:ascii="Times New Roman" w:eastAsiaTheme="minorEastAsia" w:hAnsi="Times New Roman" w:cs="Times New Roman"/>
          <w:color w:val="000000"/>
          <w:kern w:val="0"/>
          <w14:ligatures w14:val="none"/>
        </w:rPr>
        <w:t>by</w:t>
      </w:r>
      <w:proofErr w:type="gramEnd"/>
      <w:r w:rsidRPr="00784BFB">
        <w:rPr>
          <w:rFonts w:ascii="Times New Roman" w:eastAsiaTheme="minorEastAsia" w:hAnsi="Times New Roman" w:cs="Times New Roman"/>
          <w:color w:val="000000"/>
          <w:kern w:val="0"/>
          <w14:ligatures w14:val="none"/>
        </w:rPr>
        <w:t>:</w:t>
      </w:r>
    </w:p>
    <w:p w14:paraId="72619592" w14:textId="77777777" w:rsidR="00784BFB" w:rsidRPr="00784BFB" w:rsidRDefault="00784BFB" w:rsidP="00784BFB">
      <w:pPr>
        <w:numPr>
          <w:ilvl w:val="0"/>
          <w:numId w:val="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784BFB">
        <w:rPr>
          <w:rFonts w:ascii="Times New Roman" w:eastAsiaTheme="minorEastAsia" w:hAnsi="Times New Roman" w:cs="Times New Roman"/>
          <w:color w:val="000000"/>
          <w:kern w:val="0"/>
          <w14:ligatures w14:val="none"/>
        </w:rPr>
        <w:t>Aggregating financial articles from diverse, reputable sources.</w:t>
      </w:r>
    </w:p>
    <w:p w14:paraId="24B3F834" w14:textId="77777777" w:rsidR="00784BFB" w:rsidRPr="00784BFB" w:rsidRDefault="00784BFB" w:rsidP="00784BFB">
      <w:pPr>
        <w:numPr>
          <w:ilvl w:val="0"/>
          <w:numId w:val="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784BFB">
        <w:rPr>
          <w:rFonts w:ascii="Times New Roman" w:eastAsiaTheme="minorEastAsia" w:hAnsi="Times New Roman" w:cs="Times New Roman"/>
          <w:color w:val="000000"/>
          <w:kern w:val="0"/>
          <w14:ligatures w14:val="none"/>
        </w:rPr>
        <w:t>Tokenizing key terms to filter out irrelevant “fluff.”</w:t>
      </w:r>
    </w:p>
    <w:p w14:paraId="2745A79A" w14:textId="77777777" w:rsidR="00784BFB" w:rsidRPr="00784BFB" w:rsidRDefault="00784BFB" w:rsidP="00784BFB">
      <w:pPr>
        <w:numPr>
          <w:ilvl w:val="0"/>
          <w:numId w:val="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784BFB">
        <w:rPr>
          <w:rFonts w:ascii="Times New Roman" w:eastAsiaTheme="minorEastAsia" w:hAnsi="Times New Roman" w:cs="Times New Roman"/>
          <w:color w:val="000000"/>
          <w:kern w:val="0"/>
          <w14:ligatures w14:val="none"/>
        </w:rPr>
        <w:t>Ranking data based on correlation with market activity.</w:t>
      </w:r>
    </w:p>
    <w:p w14:paraId="363B8814" w14:textId="77777777" w:rsidR="00784BFB" w:rsidRPr="00784BFB" w:rsidRDefault="00784BFB" w:rsidP="00784BFB">
      <w:pPr>
        <w:numPr>
          <w:ilvl w:val="0"/>
          <w:numId w:val="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784BFB">
        <w:rPr>
          <w:rFonts w:ascii="Times New Roman" w:eastAsiaTheme="minorEastAsia" w:hAnsi="Times New Roman" w:cs="Times New Roman"/>
          <w:color w:val="000000"/>
          <w:kern w:val="0"/>
          <w14:ligatures w14:val="none"/>
        </w:rPr>
        <w:t>Delivering insights through a streamlined, accessible dashboard.</w:t>
      </w:r>
    </w:p>
    <w:p w14:paraId="24E02588" w14:textId="77777777" w:rsidR="00784BFB" w:rsidRPr="00784BFB" w:rsidRDefault="00784BFB" w:rsidP="00784BFB">
      <w:pPr>
        <w:spacing w:before="100" w:beforeAutospacing="1" w:after="100" w:afterAutospacing="1" w:line="240" w:lineRule="auto"/>
        <w:rPr>
          <w:rFonts w:ascii="Times New Roman" w:eastAsiaTheme="minorEastAsia" w:hAnsi="Times New Roman" w:cs="Times New Roman"/>
          <w:color w:val="000000"/>
          <w:kern w:val="0"/>
          <w14:ligatures w14:val="none"/>
        </w:rPr>
      </w:pPr>
      <w:r w:rsidRPr="00784BFB">
        <w:rPr>
          <w:rFonts w:ascii="Times New Roman" w:eastAsiaTheme="minorEastAsia" w:hAnsi="Times New Roman" w:cs="Times New Roman"/>
          <w:color w:val="000000"/>
          <w:kern w:val="0"/>
          <w14:ligatures w14:val="none"/>
        </w:rPr>
        <w:t>The platform’s early development has been supported by finance students and young professionals, giving it a strong foundation in both technical and market understanding.</w:t>
      </w:r>
    </w:p>
    <w:p w14:paraId="349CE4B3" w14:textId="2F003D4D" w:rsidR="004B5C2A" w:rsidRPr="00784BFB" w:rsidRDefault="008C7A8B" w:rsidP="00784BFB">
      <w:pPr>
        <w:spacing w:before="100" w:beforeAutospacing="1" w:after="100" w:afterAutospacing="1" w:line="240" w:lineRule="auto"/>
        <w:rPr>
          <w:rFonts w:ascii="Times New Roman" w:eastAsiaTheme="minorEastAsia" w:hAnsi="Times New Roman" w:cs="Times New Roman"/>
          <w:color w:val="000000"/>
          <w:kern w:val="0"/>
          <w14:ligatures w14:val="none"/>
        </w:rPr>
      </w:pPr>
      <w:r>
        <w:rPr>
          <w:rFonts w:ascii="Times New Roman" w:eastAsiaTheme="minorEastAsia" w:hAnsi="Times New Roman" w:cs="Times New Roman"/>
          <w:color w:val="000000"/>
          <w:kern w:val="0"/>
          <w14:ligatures w14:val="none"/>
        </w:rPr>
        <w:t>Operating as a cloud-based SaaS platform, F</w:t>
      </w:r>
      <w:r w:rsidR="00F06F0A">
        <w:rPr>
          <w:rFonts w:ascii="Times New Roman" w:eastAsiaTheme="minorEastAsia" w:hAnsi="Times New Roman" w:cs="Times New Roman"/>
          <w:color w:val="000000"/>
          <w:kern w:val="0"/>
          <w14:ligatures w14:val="none"/>
        </w:rPr>
        <w:t xml:space="preserve">INDEX will require ongoing investment in infrastructure, data storage, and technical support. </w:t>
      </w:r>
      <w:r w:rsidR="00535CBF" w:rsidRPr="00535CBF">
        <w:rPr>
          <w:rFonts w:ascii="Times New Roman" w:eastAsiaTheme="minorEastAsia" w:hAnsi="Times New Roman" w:cs="Times New Roman"/>
          <w:color w:val="000000"/>
          <w:kern w:val="0"/>
          <w14:ligatures w14:val="none"/>
        </w:rPr>
        <w:t xml:space="preserve">To manage these costs, the platform is designed to scale incrementally using modular architecture and cloud services, allowing computing and storage resources to </w:t>
      </w:r>
      <w:r w:rsidR="00535CBF" w:rsidRPr="00535CBF">
        <w:rPr>
          <w:rFonts w:ascii="Times New Roman" w:eastAsiaTheme="minorEastAsia" w:hAnsi="Times New Roman" w:cs="Times New Roman"/>
          <w:color w:val="000000"/>
          <w:kern w:val="0"/>
          <w:u w:val="single"/>
          <w14:ligatures w14:val="none"/>
        </w:rPr>
        <w:t>expand in line with user growth</w:t>
      </w:r>
      <w:r w:rsidR="00535CBF" w:rsidRPr="00535CBF">
        <w:rPr>
          <w:rFonts w:ascii="Times New Roman" w:eastAsiaTheme="minorEastAsia" w:hAnsi="Times New Roman" w:cs="Times New Roman"/>
          <w:color w:val="000000"/>
          <w:kern w:val="0"/>
          <w14:ligatures w14:val="none"/>
        </w:rPr>
        <w:t>. Early development emphasizes automation and monitoring to reduce manual technical overhead</w:t>
      </w:r>
      <w:r w:rsidR="00B0260B">
        <w:rPr>
          <w:rFonts w:ascii="Times New Roman" w:eastAsiaTheme="minorEastAsia" w:hAnsi="Times New Roman" w:cs="Times New Roman"/>
          <w:color w:val="000000"/>
          <w:kern w:val="0"/>
          <w14:ligatures w14:val="none"/>
        </w:rPr>
        <w:t xml:space="preserve">, with future development incorporating agentic AI to </w:t>
      </w:r>
      <w:r w:rsidR="0012537C">
        <w:rPr>
          <w:rFonts w:ascii="Times New Roman" w:eastAsiaTheme="minorEastAsia" w:hAnsi="Times New Roman" w:cs="Times New Roman"/>
          <w:color w:val="000000"/>
          <w:kern w:val="0"/>
          <w14:ligatures w14:val="none"/>
        </w:rPr>
        <w:t>increase accuracy and reduce capital consumption.</w:t>
      </w:r>
    </w:p>
    <w:p w14:paraId="0DF81238" w14:textId="77777777" w:rsidR="00B5598C" w:rsidRPr="00B5598C" w:rsidRDefault="00B5598C" w:rsidP="00B5598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5598C">
        <w:rPr>
          <w:rFonts w:ascii="Times New Roman" w:eastAsia="Times New Roman" w:hAnsi="Times New Roman" w:cs="Times New Roman"/>
          <w:b/>
          <w:bCs/>
          <w:color w:val="000000"/>
          <w:kern w:val="0"/>
          <w:sz w:val="36"/>
          <w:szCs w:val="36"/>
          <w14:ligatures w14:val="none"/>
        </w:rPr>
        <w:t>3. Strategic Plan / Focus</w:t>
      </w:r>
    </w:p>
    <w:p w14:paraId="00DF99F5" w14:textId="77777777" w:rsidR="00B5598C" w:rsidRPr="00B5598C" w:rsidRDefault="00B5598C" w:rsidP="00B5598C">
      <w:pPr>
        <w:spacing w:before="100" w:beforeAutospacing="1" w:after="100" w:afterAutospacing="1" w:line="240" w:lineRule="auto"/>
        <w:rPr>
          <w:rFonts w:ascii="Times New Roman" w:eastAsiaTheme="minorEastAsia" w:hAnsi="Times New Roman" w:cs="Times New Roman"/>
          <w:color w:val="000000"/>
          <w:kern w:val="0"/>
          <w14:ligatures w14:val="none"/>
        </w:rPr>
      </w:pPr>
      <w:r w:rsidRPr="00B5598C">
        <w:rPr>
          <w:rFonts w:ascii="Times New Roman" w:eastAsiaTheme="minorEastAsia" w:hAnsi="Times New Roman" w:cs="Times New Roman"/>
          <w:b/>
          <w:bCs/>
          <w:color w:val="000000"/>
          <w:kern w:val="0"/>
          <w14:ligatures w14:val="none"/>
        </w:rPr>
        <w:t>Mission Statement</w:t>
      </w:r>
      <w:r w:rsidRPr="00B5598C">
        <w:rPr>
          <w:rFonts w:ascii="Times New Roman" w:eastAsiaTheme="minorEastAsia" w:hAnsi="Times New Roman" w:cs="Times New Roman"/>
          <w:color w:val="000000"/>
          <w:kern w:val="0"/>
          <w14:ligatures w14:val="none"/>
        </w:rPr>
        <w:br/>
      </w:r>
      <w:r w:rsidRPr="00B5598C">
        <w:rPr>
          <w:rFonts w:ascii="Times New Roman" w:eastAsiaTheme="minorEastAsia" w:hAnsi="Times New Roman" w:cs="Times New Roman"/>
          <w:i/>
          <w:iCs/>
          <w:color w:val="000000"/>
          <w:kern w:val="0"/>
          <w14:ligatures w14:val="none"/>
        </w:rPr>
        <w:t>To democratize access to financial information by delivering affordable, accurate, and actionable insights through a user-friendly SaaS platform.</w:t>
      </w:r>
    </w:p>
    <w:p w14:paraId="1D21F48B" w14:textId="77777777" w:rsidR="00B5598C" w:rsidRPr="00B5598C" w:rsidRDefault="00B5598C" w:rsidP="00B5598C">
      <w:pPr>
        <w:spacing w:before="100" w:beforeAutospacing="1" w:after="100" w:afterAutospacing="1" w:line="240" w:lineRule="auto"/>
        <w:rPr>
          <w:rFonts w:ascii="Times New Roman" w:eastAsiaTheme="minorEastAsia" w:hAnsi="Times New Roman" w:cs="Times New Roman"/>
          <w:color w:val="000000"/>
          <w:kern w:val="0"/>
          <w14:ligatures w14:val="none"/>
        </w:rPr>
      </w:pPr>
      <w:r w:rsidRPr="00B5598C">
        <w:rPr>
          <w:rFonts w:ascii="Times New Roman" w:eastAsiaTheme="minorEastAsia" w:hAnsi="Times New Roman" w:cs="Times New Roman"/>
          <w:b/>
          <w:bCs/>
          <w:color w:val="000000"/>
          <w:kern w:val="0"/>
          <w14:ligatures w14:val="none"/>
        </w:rPr>
        <w:t>Goals</w:t>
      </w:r>
    </w:p>
    <w:p w14:paraId="171FD812" w14:textId="44FD5E7C" w:rsidR="00B61919" w:rsidRPr="00B61919" w:rsidRDefault="00B5598C" w:rsidP="00B61919">
      <w:pPr>
        <w:numPr>
          <w:ilvl w:val="0"/>
          <w:numId w:val="18"/>
        </w:numPr>
        <w:spacing w:before="80" w:after="100" w:afterAutospacing="1" w:line="240" w:lineRule="auto"/>
        <w:rPr>
          <w:rFonts w:ascii="Times New Roman" w:eastAsiaTheme="minorEastAsia" w:hAnsi="Times New Roman" w:cs="Times New Roman"/>
          <w:color w:val="000000"/>
          <w:kern w:val="0"/>
          <w14:ligatures w14:val="none"/>
        </w:rPr>
      </w:pPr>
      <w:r w:rsidRPr="00B5598C">
        <w:rPr>
          <w:rFonts w:ascii="Times New Roman" w:eastAsiaTheme="minorEastAsia" w:hAnsi="Times New Roman" w:cs="Times New Roman"/>
          <w:color w:val="000000"/>
          <w:kern w:val="0"/>
          <w14:ligatures w14:val="none"/>
        </w:rPr>
        <w:t>Acquire 1,500 paying users within the first 18 months.</w:t>
      </w:r>
    </w:p>
    <w:p w14:paraId="2F4594B4" w14:textId="038FF6D8" w:rsidR="004255C7" w:rsidRPr="00B5598C" w:rsidRDefault="004255C7" w:rsidP="00B61919">
      <w:pPr>
        <w:numPr>
          <w:ilvl w:val="0"/>
          <w:numId w:val="18"/>
        </w:numPr>
        <w:spacing w:before="80" w:after="100" w:afterAutospacing="1" w:line="240" w:lineRule="auto"/>
        <w:rPr>
          <w:rFonts w:ascii="Times New Roman" w:eastAsiaTheme="minorEastAsia" w:hAnsi="Times New Roman" w:cs="Times New Roman"/>
          <w:color w:val="000000"/>
          <w:kern w:val="0"/>
          <w14:ligatures w14:val="none"/>
        </w:rPr>
      </w:pPr>
      <w:r w:rsidRPr="004255C7">
        <w:rPr>
          <w:rFonts w:ascii="Times New Roman" w:eastAsiaTheme="minorEastAsia" w:hAnsi="Times New Roman" w:cs="Times New Roman"/>
          <w:color w:val="000000"/>
          <w:kern w:val="0"/>
          <w14:ligatures w14:val="none"/>
        </w:rPr>
        <w:t>Establish a scalable technical infrastructure and dedicated development support by the end of Year 1 to ensure system reliability and data integrity.</w:t>
      </w:r>
    </w:p>
    <w:p w14:paraId="6EC09AE9" w14:textId="77777777" w:rsidR="00B5598C" w:rsidRPr="00B5598C" w:rsidRDefault="00B5598C" w:rsidP="00B61919">
      <w:pPr>
        <w:numPr>
          <w:ilvl w:val="0"/>
          <w:numId w:val="18"/>
        </w:numPr>
        <w:spacing w:before="80" w:after="100" w:afterAutospacing="1" w:line="240" w:lineRule="auto"/>
        <w:rPr>
          <w:rFonts w:ascii="Times New Roman" w:eastAsiaTheme="minorEastAsia" w:hAnsi="Times New Roman" w:cs="Times New Roman"/>
          <w:color w:val="000000"/>
          <w:kern w:val="0"/>
          <w14:ligatures w14:val="none"/>
        </w:rPr>
      </w:pPr>
      <w:r w:rsidRPr="00B5598C">
        <w:rPr>
          <w:rFonts w:ascii="Times New Roman" w:eastAsiaTheme="minorEastAsia" w:hAnsi="Times New Roman" w:cs="Times New Roman"/>
          <w:color w:val="000000"/>
          <w:kern w:val="0"/>
          <w14:ligatures w14:val="none"/>
        </w:rPr>
        <w:t>Secure partnerships with at least 2 universities and 2 professional organizations.</w:t>
      </w:r>
    </w:p>
    <w:p w14:paraId="6E03CF95" w14:textId="77777777" w:rsidR="00B5598C" w:rsidRPr="00B5598C" w:rsidRDefault="00B5598C" w:rsidP="00B61919">
      <w:pPr>
        <w:numPr>
          <w:ilvl w:val="0"/>
          <w:numId w:val="18"/>
        </w:numPr>
        <w:spacing w:before="80" w:after="100" w:afterAutospacing="1" w:line="240" w:lineRule="auto"/>
        <w:rPr>
          <w:rFonts w:ascii="Times New Roman" w:eastAsiaTheme="minorEastAsia" w:hAnsi="Times New Roman" w:cs="Times New Roman"/>
          <w:color w:val="000000"/>
          <w:kern w:val="0"/>
          <w14:ligatures w14:val="none"/>
        </w:rPr>
      </w:pPr>
      <w:r w:rsidRPr="00B5598C">
        <w:rPr>
          <w:rFonts w:ascii="Times New Roman" w:eastAsiaTheme="minorEastAsia" w:hAnsi="Times New Roman" w:cs="Times New Roman"/>
          <w:color w:val="000000"/>
          <w:kern w:val="0"/>
          <w14:ligatures w14:val="none"/>
        </w:rPr>
        <w:t>Launch enterprise-level B2B package by Year 2.</w:t>
      </w:r>
    </w:p>
    <w:p w14:paraId="233F7966" w14:textId="77777777" w:rsidR="00B5598C" w:rsidRPr="00B5598C" w:rsidRDefault="00B5598C" w:rsidP="00B61919">
      <w:pPr>
        <w:numPr>
          <w:ilvl w:val="0"/>
          <w:numId w:val="18"/>
        </w:numPr>
        <w:spacing w:before="80" w:after="100" w:afterAutospacing="1" w:line="240" w:lineRule="auto"/>
        <w:rPr>
          <w:rFonts w:ascii="Times New Roman" w:eastAsiaTheme="minorEastAsia" w:hAnsi="Times New Roman" w:cs="Times New Roman"/>
          <w:color w:val="000000"/>
          <w:kern w:val="0"/>
          <w14:ligatures w14:val="none"/>
        </w:rPr>
      </w:pPr>
      <w:r w:rsidRPr="00B5598C">
        <w:rPr>
          <w:rFonts w:ascii="Times New Roman" w:eastAsiaTheme="minorEastAsia" w:hAnsi="Times New Roman" w:cs="Times New Roman"/>
          <w:color w:val="000000"/>
          <w:kern w:val="0"/>
          <w14:ligatures w14:val="none"/>
        </w:rPr>
        <w:t>Reach profitability by Year 3.</w:t>
      </w:r>
    </w:p>
    <w:p w14:paraId="5520F1AE" w14:textId="77777777" w:rsidR="00B5598C" w:rsidRPr="00B5598C" w:rsidRDefault="00B5598C" w:rsidP="00B5598C">
      <w:pPr>
        <w:spacing w:before="100" w:beforeAutospacing="1" w:after="100" w:afterAutospacing="1" w:line="240" w:lineRule="auto"/>
        <w:rPr>
          <w:rFonts w:ascii="Times New Roman" w:eastAsiaTheme="minorEastAsia" w:hAnsi="Times New Roman" w:cs="Times New Roman"/>
          <w:color w:val="000000"/>
          <w:kern w:val="0"/>
          <w14:ligatures w14:val="none"/>
        </w:rPr>
      </w:pPr>
      <w:r w:rsidRPr="00B5598C">
        <w:rPr>
          <w:rFonts w:ascii="Times New Roman" w:eastAsiaTheme="minorEastAsia" w:hAnsi="Times New Roman" w:cs="Times New Roman"/>
          <w:b/>
          <w:bCs/>
          <w:color w:val="000000"/>
          <w:kern w:val="0"/>
          <w14:ligatures w14:val="none"/>
        </w:rPr>
        <w:t>Core Competence / Competitive Advantage</w:t>
      </w:r>
      <w:r w:rsidRPr="00B5598C">
        <w:rPr>
          <w:rFonts w:ascii="Times New Roman" w:eastAsiaTheme="minorEastAsia" w:hAnsi="Times New Roman" w:cs="Times New Roman"/>
          <w:color w:val="000000"/>
          <w:kern w:val="0"/>
          <w14:ligatures w14:val="none"/>
        </w:rPr>
        <w:br/>
        <w:t>FINDEX’s strength lies in its </w:t>
      </w:r>
      <w:r w:rsidRPr="00B5598C">
        <w:rPr>
          <w:rFonts w:ascii="Times New Roman" w:eastAsiaTheme="minorEastAsia" w:hAnsi="Times New Roman" w:cs="Times New Roman"/>
          <w:b/>
          <w:bCs/>
          <w:color w:val="000000"/>
          <w:kern w:val="0"/>
          <w14:ligatures w14:val="none"/>
        </w:rPr>
        <w:t>unique approach to article tokenization and index ranking</w:t>
      </w:r>
      <w:r w:rsidRPr="00B5598C">
        <w:rPr>
          <w:rFonts w:ascii="Times New Roman" w:eastAsiaTheme="minorEastAsia" w:hAnsi="Times New Roman" w:cs="Times New Roman"/>
          <w:color w:val="000000"/>
          <w:kern w:val="0"/>
          <w14:ligatures w14:val="none"/>
        </w:rPr>
        <w:t>. By using natural language processing (NLP) and AI tools, FINDEX can deliver data that is cleaner and more relevant than what is offered by free services, and far more affordable than high-end competitors. This makes FINDEX the </w:t>
      </w:r>
      <w:r w:rsidRPr="00B5598C">
        <w:rPr>
          <w:rFonts w:ascii="Times New Roman" w:eastAsiaTheme="minorEastAsia" w:hAnsi="Times New Roman" w:cs="Times New Roman"/>
          <w:b/>
          <w:bCs/>
          <w:color w:val="000000"/>
          <w:kern w:val="0"/>
          <w14:ligatures w14:val="none"/>
        </w:rPr>
        <w:t>“poor man’s Bloomberg Terminal”</w:t>
      </w:r>
      <w:r w:rsidRPr="00B5598C">
        <w:rPr>
          <w:rFonts w:ascii="Times New Roman" w:eastAsiaTheme="minorEastAsia" w:hAnsi="Times New Roman" w:cs="Times New Roman"/>
          <w:color w:val="000000"/>
          <w:kern w:val="0"/>
          <w14:ligatures w14:val="none"/>
        </w:rPr>
        <w:t>—an accessible, impartial solution for those priced out of traditional financial data platforms.</w:t>
      </w:r>
    </w:p>
    <w:p w14:paraId="185B3C16" w14:textId="77777777" w:rsidR="004B5C2A" w:rsidRPr="00B5598C" w:rsidRDefault="004B5C2A" w:rsidP="00B5598C">
      <w:pPr>
        <w:spacing w:before="100" w:beforeAutospacing="1" w:after="100" w:afterAutospacing="1" w:line="240" w:lineRule="auto"/>
        <w:rPr>
          <w:rFonts w:ascii="Times New Roman" w:eastAsiaTheme="minorEastAsia" w:hAnsi="Times New Roman" w:cs="Times New Roman"/>
          <w:color w:val="000000"/>
          <w:kern w:val="0"/>
          <w14:ligatures w14:val="none"/>
        </w:rPr>
      </w:pPr>
    </w:p>
    <w:p w14:paraId="7B92B6AC" w14:textId="77777777" w:rsidR="00D441A6" w:rsidRPr="00D441A6" w:rsidRDefault="00D441A6" w:rsidP="00D441A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441A6">
        <w:rPr>
          <w:rFonts w:ascii="Times New Roman" w:eastAsia="Times New Roman" w:hAnsi="Times New Roman" w:cs="Times New Roman"/>
          <w:b/>
          <w:bCs/>
          <w:color w:val="000000"/>
          <w:kern w:val="0"/>
          <w:sz w:val="36"/>
          <w:szCs w:val="36"/>
          <w14:ligatures w14:val="none"/>
        </w:rPr>
        <w:lastRenderedPageBreak/>
        <w:t>4. Situation Analysis (SWOT)</w:t>
      </w:r>
    </w:p>
    <w:p w14:paraId="4676D062" w14:textId="77777777" w:rsidR="00D441A6" w:rsidRPr="00D441A6" w:rsidRDefault="00D441A6" w:rsidP="00D441A6">
      <w:p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SWOT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gridCol w:w="4248"/>
      </w:tblGrid>
      <w:tr w:rsidR="00D441A6" w:rsidRPr="00D441A6" w14:paraId="58704C16" w14:textId="77777777">
        <w:trPr>
          <w:tblHeader/>
          <w:tblCellSpacing w:w="15" w:type="dxa"/>
        </w:trPr>
        <w:tc>
          <w:tcPr>
            <w:tcW w:w="0" w:type="auto"/>
            <w:vAlign w:val="center"/>
            <w:hideMark/>
          </w:tcPr>
          <w:p w14:paraId="572508A8" w14:textId="77777777" w:rsidR="00D441A6" w:rsidRPr="00D441A6" w:rsidRDefault="00D441A6" w:rsidP="00D441A6">
            <w:pPr>
              <w:spacing w:after="0" w:line="240" w:lineRule="auto"/>
              <w:jc w:val="center"/>
              <w:rPr>
                <w:rFonts w:ascii="Times New Roman" w:eastAsia="Times New Roman" w:hAnsi="Times New Roman" w:cs="Times New Roman"/>
                <w:b/>
                <w:bCs/>
                <w:kern w:val="0"/>
                <w14:ligatures w14:val="none"/>
              </w:rPr>
            </w:pPr>
            <w:r w:rsidRPr="00D441A6">
              <w:rPr>
                <w:rFonts w:ascii="Times New Roman" w:eastAsia="Times New Roman" w:hAnsi="Times New Roman" w:cs="Times New Roman"/>
                <w:b/>
                <w:bCs/>
                <w:kern w:val="0"/>
                <w14:ligatures w14:val="none"/>
              </w:rPr>
              <w:t>Strengths</w:t>
            </w:r>
          </w:p>
        </w:tc>
        <w:tc>
          <w:tcPr>
            <w:tcW w:w="0" w:type="auto"/>
            <w:vAlign w:val="center"/>
            <w:hideMark/>
          </w:tcPr>
          <w:p w14:paraId="42C9F2B1" w14:textId="77777777" w:rsidR="00D441A6" w:rsidRPr="00D441A6" w:rsidRDefault="00D441A6" w:rsidP="00D441A6">
            <w:pPr>
              <w:spacing w:after="0" w:line="240" w:lineRule="auto"/>
              <w:jc w:val="center"/>
              <w:rPr>
                <w:rFonts w:ascii="Times New Roman" w:eastAsia="Times New Roman" w:hAnsi="Times New Roman" w:cs="Times New Roman"/>
                <w:b/>
                <w:bCs/>
                <w:kern w:val="0"/>
                <w14:ligatures w14:val="none"/>
              </w:rPr>
            </w:pPr>
            <w:r w:rsidRPr="00D441A6">
              <w:rPr>
                <w:rFonts w:ascii="Times New Roman" w:eastAsia="Times New Roman" w:hAnsi="Times New Roman" w:cs="Times New Roman"/>
                <w:b/>
                <w:bCs/>
                <w:kern w:val="0"/>
                <w14:ligatures w14:val="none"/>
              </w:rPr>
              <w:t>Weaknesses</w:t>
            </w:r>
          </w:p>
        </w:tc>
      </w:tr>
      <w:tr w:rsidR="00D441A6" w:rsidRPr="00D441A6" w14:paraId="6BB6F393" w14:textId="77777777">
        <w:trPr>
          <w:tblCellSpacing w:w="15" w:type="dxa"/>
        </w:trPr>
        <w:tc>
          <w:tcPr>
            <w:tcW w:w="0" w:type="auto"/>
            <w:vAlign w:val="center"/>
            <w:hideMark/>
          </w:tcPr>
          <w:p w14:paraId="6723D563"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Affordable SaaS pricing model</w:t>
            </w:r>
          </w:p>
        </w:tc>
        <w:tc>
          <w:tcPr>
            <w:tcW w:w="0" w:type="auto"/>
            <w:vAlign w:val="center"/>
            <w:hideMark/>
          </w:tcPr>
          <w:p w14:paraId="64BE184B"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Limited initial funding/resources</w:t>
            </w:r>
          </w:p>
        </w:tc>
      </w:tr>
      <w:tr w:rsidR="00D441A6" w:rsidRPr="00D441A6" w14:paraId="3FD9E9A6" w14:textId="77777777">
        <w:trPr>
          <w:tblCellSpacing w:w="15" w:type="dxa"/>
        </w:trPr>
        <w:tc>
          <w:tcPr>
            <w:tcW w:w="0" w:type="auto"/>
            <w:vAlign w:val="center"/>
            <w:hideMark/>
          </w:tcPr>
          <w:p w14:paraId="64AB31AE"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Proprietary keyword tokenization &amp; ranking</w:t>
            </w:r>
          </w:p>
        </w:tc>
        <w:tc>
          <w:tcPr>
            <w:tcW w:w="0" w:type="auto"/>
            <w:vAlign w:val="center"/>
            <w:hideMark/>
          </w:tcPr>
          <w:p w14:paraId="169DD3FA"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No brand recognition yet</w:t>
            </w:r>
          </w:p>
        </w:tc>
      </w:tr>
      <w:tr w:rsidR="00D441A6" w:rsidRPr="00D441A6" w14:paraId="027783FD" w14:textId="77777777">
        <w:trPr>
          <w:tblCellSpacing w:w="15" w:type="dxa"/>
        </w:trPr>
        <w:tc>
          <w:tcPr>
            <w:tcW w:w="0" w:type="auto"/>
            <w:vAlign w:val="center"/>
            <w:hideMark/>
          </w:tcPr>
          <w:p w14:paraId="25E55841"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Dual B2C and B2B approach</w:t>
            </w:r>
          </w:p>
        </w:tc>
        <w:tc>
          <w:tcPr>
            <w:tcW w:w="0" w:type="auto"/>
            <w:vAlign w:val="center"/>
            <w:hideMark/>
          </w:tcPr>
          <w:p w14:paraId="6A776C02"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Need for robust data licensing agreements</w:t>
            </w:r>
          </w:p>
        </w:tc>
      </w:tr>
      <w:tr w:rsidR="00D441A6" w:rsidRPr="00D441A6" w14:paraId="6FFA41DE" w14:textId="77777777">
        <w:trPr>
          <w:tblCellSpacing w:w="15" w:type="dxa"/>
        </w:trPr>
        <w:tc>
          <w:tcPr>
            <w:tcW w:w="0" w:type="auto"/>
            <w:vAlign w:val="center"/>
            <w:hideMark/>
          </w:tcPr>
          <w:p w14:paraId="3E0F2CAB"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Simple, intuitive user interface</w:t>
            </w:r>
          </w:p>
        </w:tc>
        <w:tc>
          <w:tcPr>
            <w:tcW w:w="0" w:type="auto"/>
            <w:vAlign w:val="center"/>
            <w:hideMark/>
          </w:tcPr>
          <w:p w14:paraId="673178F5"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Startup risk against established competitors</w:t>
            </w:r>
          </w:p>
        </w:tc>
      </w:tr>
    </w:tbl>
    <w:p w14:paraId="6EBDCCF1" w14:textId="77777777" w:rsidR="00D441A6" w:rsidRPr="00D441A6" w:rsidRDefault="00D441A6" w:rsidP="00D441A6">
      <w:pPr>
        <w:spacing w:after="0" w:line="240" w:lineRule="auto"/>
        <w:rPr>
          <w:rFonts w:ascii="Times New Roman" w:eastAsia="Times New Roman" w:hAnsi="Times New Roman" w:cs="Times New Roman"/>
          <w:vanish/>
          <w:color w:val="000000"/>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8"/>
        <w:gridCol w:w="4101"/>
      </w:tblGrid>
      <w:tr w:rsidR="00D441A6" w:rsidRPr="00D441A6" w14:paraId="1EDA6C29" w14:textId="77777777">
        <w:trPr>
          <w:tblHeader/>
          <w:tblCellSpacing w:w="15" w:type="dxa"/>
        </w:trPr>
        <w:tc>
          <w:tcPr>
            <w:tcW w:w="0" w:type="auto"/>
            <w:vAlign w:val="center"/>
            <w:hideMark/>
          </w:tcPr>
          <w:p w14:paraId="026C3DF4" w14:textId="77777777" w:rsidR="00D441A6" w:rsidRPr="00D441A6" w:rsidRDefault="00D441A6" w:rsidP="00D441A6">
            <w:pPr>
              <w:spacing w:after="0" w:line="240" w:lineRule="auto"/>
              <w:jc w:val="center"/>
              <w:rPr>
                <w:rFonts w:ascii="Times New Roman" w:eastAsia="Times New Roman" w:hAnsi="Times New Roman" w:cs="Times New Roman"/>
                <w:b/>
                <w:bCs/>
                <w:kern w:val="0"/>
                <w14:ligatures w14:val="none"/>
              </w:rPr>
            </w:pPr>
            <w:r w:rsidRPr="00D441A6">
              <w:rPr>
                <w:rFonts w:ascii="Times New Roman" w:eastAsia="Times New Roman" w:hAnsi="Times New Roman" w:cs="Times New Roman"/>
                <w:b/>
                <w:bCs/>
                <w:kern w:val="0"/>
                <w14:ligatures w14:val="none"/>
              </w:rPr>
              <w:t>Opportunities</w:t>
            </w:r>
          </w:p>
        </w:tc>
        <w:tc>
          <w:tcPr>
            <w:tcW w:w="0" w:type="auto"/>
            <w:vAlign w:val="center"/>
            <w:hideMark/>
          </w:tcPr>
          <w:p w14:paraId="0D916B9F" w14:textId="77777777" w:rsidR="00D441A6" w:rsidRPr="00D441A6" w:rsidRDefault="00D441A6" w:rsidP="00D441A6">
            <w:pPr>
              <w:spacing w:after="0" w:line="240" w:lineRule="auto"/>
              <w:jc w:val="center"/>
              <w:rPr>
                <w:rFonts w:ascii="Times New Roman" w:eastAsia="Times New Roman" w:hAnsi="Times New Roman" w:cs="Times New Roman"/>
                <w:b/>
                <w:bCs/>
                <w:kern w:val="0"/>
                <w14:ligatures w14:val="none"/>
              </w:rPr>
            </w:pPr>
            <w:r w:rsidRPr="00D441A6">
              <w:rPr>
                <w:rFonts w:ascii="Times New Roman" w:eastAsia="Times New Roman" w:hAnsi="Times New Roman" w:cs="Times New Roman"/>
                <w:b/>
                <w:bCs/>
                <w:kern w:val="0"/>
                <w14:ligatures w14:val="none"/>
              </w:rPr>
              <w:t>Threats</w:t>
            </w:r>
          </w:p>
        </w:tc>
      </w:tr>
      <w:tr w:rsidR="00D441A6" w:rsidRPr="00D441A6" w14:paraId="73959F3E" w14:textId="77777777">
        <w:trPr>
          <w:tblCellSpacing w:w="15" w:type="dxa"/>
        </w:trPr>
        <w:tc>
          <w:tcPr>
            <w:tcW w:w="0" w:type="auto"/>
            <w:vAlign w:val="center"/>
            <w:hideMark/>
          </w:tcPr>
          <w:p w14:paraId="3C74309E"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Rising demand for financial literacy tools</w:t>
            </w:r>
          </w:p>
        </w:tc>
        <w:tc>
          <w:tcPr>
            <w:tcW w:w="0" w:type="auto"/>
            <w:vAlign w:val="center"/>
            <w:hideMark/>
          </w:tcPr>
          <w:p w14:paraId="507A016D"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Large incumbents could lower prices</w:t>
            </w:r>
          </w:p>
        </w:tc>
      </w:tr>
      <w:tr w:rsidR="00D441A6" w:rsidRPr="00D441A6" w14:paraId="29F5FC8E" w14:textId="77777777">
        <w:trPr>
          <w:tblCellSpacing w:w="15" w:type="dxa"/>
        </w:trPr>
        <w:tc>
          <w:tcPr>
            <w:tcW w:w="0" w:type="auto"/>
            <w:vAlign w:val="center"/>
            <w:hideMark/>
          </w:tcPr>
          <w:p w14:paraId="4E0AF5E6"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Expansion into universities &amp; student markets</w:t>
            </w:r>
          </w:p>
        </w:tc>
        <w:tc>
          <w:tcPr>
            <w:tcW w:w="0" w:type="auto"/>
            <w:vAlign w:val="center"/>
            <w:hideMark/>
          </w:tcPr>
          <w:p w14:paraId="15885372"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Rapid technological changes</w:t>
            </w:r>
          </w:p>
        </w:tc>
      </w:tr>
      <w:tr w:rsidR="00D441A6" w:rsidRPr="00D441A6" w14:paraId="61B1FD52" w14:textId="77777777">
        <w:trPr>
          <w:tblCellSpacing w:w="15" w:type="dxa"/>
        </w:trPr>
        <w:tc>
          <w:tcPr>
            <w:tcW w:w="0" w:type="auto"/>
            <w:vAlign w:val="center"/>
            <w:hideMark/>
          </w:tcPr>
          <w:p w14:paraId="5CE699A4"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Increasing adoption of AI/NLP in SaaS</w:t>
            </w:r>
          </w:p>
        </w:tc>
        <w:tc>
          <w:tcPr>
            <w:tcW w:w="0" w:type="auto"/>
            <w:vAlign w:val="center"/>
            <w:hideMark/>
          </w:tcPr>
          <w:p w14:paraId="15A1226A"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Data security/regulatory compliance</w:t>
            </w:r>
          </w:p>
        </w:tc>
      </w:tr>
      <w:tr w:rsidR="00D441A6" w:rsidRPr="00D441A6" w14:paraId="29E78F9E" w14:textId="77777777">
        <w:trPr>
          <w:tblCellSpacing w:w="15" w:type="dxa"/>
        </w:trPr>
        <w:tc>
          <w:tcPr>
            <w:tcW w:w="0" w:type="auto"/>
            <w:vAlign w:val="center"/>
            <w:hideMark/>
          </w:tcPr>
          <w:p w14:paraId="04501134"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Partnerships with incubators and firms</w:t>
            </w:r>
          </w:p>
        </w:tc>
        <w:tc>
          <w:tcPr>
            <w:tcW w:w="0" w:type="auto"/>
            <w:vAlign w:val="center"/>
            <w:hideMark/>
          </w:tcPr>
          <w:p w14:paraId="0EB0A646" w14:textId="77777777" w:rsidR="00D441A6" w:rsidRPr="00D441A6" w:rsidRDefault="00D441A6" w:rsidP="00D441A6">
            <w:pPr>
              <w:spacing w:after="0" w:line="240" w:lineRule="auto"/>
              <w:rPr>
                <w:rFonts w:ascii="Times New Roman" w:eastAsia="Times New Roman" w:hAnsi="Times New Roman" w:cs="Times New Roman"/>
                <w:kern w:val="0"/>
                <w14:ligatures w14:val="none"/>
              </w:rPr>
            </w:pPr>
            <w:r w:rsidRPr="00D441A6">
              <w:rPr>
                <w:rFonts w:ascii="Times New Roman" w:eastAsia="Times New Roman" w:hAnsi="Times New Roman" w:cs="Times New Roman"/>
                <w:kern w:val="0"/>
                <w14:ligatures w14:val="none"/>
              </w:rPr>
              <w:t>Customer skepticism toward new entrants</w:t>
            </w:r>
          </w:p>
        </w:tc>
      </w:tr>
    </w:tbl>
    <w:p w14:paraId="337D5F1D" w14:textId="208A32A8" w:rsidR="00D441A6" w:rsidRPr="000F2663" w:rsidRDefault="00D441A6" w:rsidP="00D441A6">
      <w:p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Industry Analysis</w:t>
      </w:r>
      <w:r w:rsidRPr="00D441A6">
        <w:rPr>
          <w:rFonts w:ascii="Times New Roman" w:eastAsiaTheme="minorEastAsia" w:hAnsi="Times New Roman" w:cs="Times New Roman"/>
          <w:color w:val="000000"/>
          <w:kern w:val="0"/>
          <w14:ligatures w14:val="none"/>
        </w:rPr>
        <w:br/>
      </w:r>
      <w:r w:rsidR="00956289" w:rsidRPr="00956289">
        <w:rPr>
          <w:rFonts w:ascii="Times New Roman" w:eastAsiaTheme="minorEastAsia" w:hAnsi="Times New Roman" w:cs="Times New Roman"/>
          <w:color w:val="000000"/>
          <w:kern w:val="0"/>
          <w14:ligatures w14:val="none"/>
        </w:rPr>
        <w:t xml:space="preserve">The financial analytics and broader data analytics industries are projected to experience substantial growth in the coming years. </w:t>
      </w:r>
      <w:r w:rsidR="00956289" w:rsidRPr="0034165D">
        <w:rPr>
          <w:rFonts w:ascii="Times New Roman" w:eastAsiaTheme="minorEastAsia" w:hAnsi="Times New Roman" w:cs="Times New Roman"/>
          <w:color w:val="000000"/>
          <w:kern w:val="0"/>
          <w:highlight w:val="yellow"/>
          <w14:ligatures w14:val="none"/>
        </w:rPr>
        <w:t xml:space="preserve">The financial analytics market is expected to expand from approximately $8 billion in 2022 to nearly $18.7 billion by 2030 </w:t>
      </w:r>
      <w:r w:rsidR="00460128" w:rsidRPr="0034165D">
        <w:rPr>
          <w:rFonts w:ascii="Times New Roman" w:eastAsiaTheme="minorEastAsia" w:hAnsi="Times New Roman" w:cs="Times New Roman"/>
          <w:i/>
          <w:iCs/>
          <w:color w:val="000000"/>
          <w:kern w:val="0"/>
          <w:highlight w:val="yellow"/>
          <w14:ligatures w14:val="none"/>
        </w:rPr>
        <w:t>(Insights, 2023)</w:t>
      </w:r>
      <w:r w:rsidR="00956289" w:rsidRPr="0034165D">
        <w:rPr>
          <w:rFonts w:ascii="Times New Roman" w:eastAsiaTheme="minorEastAsia" w:hAnsi="Times New Roman" w:cs="Times New Roman"/>
          <w:color w:val="000000"/>
          <w:kern w:val="0"/>
          <w:highlight w:val="yellow"/>
          <w14:ligatures w14:val="none"/>
        </w:rPr>
        <w:t xml:space="preserve">, while the global data analytics market is projected to grow from $69.5 billion in 2024 to approximately $302 billion by 2030 </w:t>
      </w:r>
      <w:r w:rsidR="000F2663" w:rsidRPr="0034165D">
        <w:rPr>
          <w:rFonts w:ascii="Times New Roman" w:eastAsiaTheme="minorEastAsia" w:hAnsi="Times New Roman" w:cs="Times New Roman"/>
          <w:i/>
          <w:iCs/>
          <w:color w:val="000000"/>
          <w:kern w:val="0"/>
          <w:highlight w:val="yellow"/>
          <w14:ligatures w14:val="none"/>
        </w:rPr>
        <w:t>(Grand View Research, 2025)</w:t>
      </w:r>
      <w:r w:rsidR="00956289" w:rsidRPr="0034165D">
        <w:rPr>
          <w:rFonts w:ascii="Times New Roman" w:eastAsiaTheme="minorEastAsia" w:hAnsi="Times New Roman" w:cs="Times New Roman"/>
          <w:color w:val="000000"/>
          <w:kern w:val="0"/>
          <w:highlight w:val="yellow"/>
          <w14:ligatures w14:val="none"/>
        </w:rPr>
        <w:t>.</w:t>
      </w:r>
      <w:r w:rsidR="00956289" w:rsidRPr="00956289">
        <w:rPr>
          <w:rFonts w:ascii="Times New Roman" w:eastAsiaTheme="minorEastAsia" w:hAnsi="Times New Roman" w:cs="Times New Roman"/>
          <w:color w:val="000000"/>
          <w:kern w:val="0"/>
          <w14:ligatures w14:val="none"/>
        </w:rPr>
        <w:t xml:space="preserve"> This growth is driven by increased participation in investing and a rising demand for data-driven decision-making tools.</w:t>
      </w:r>
      <w:r w:rsidRPr="00D441A6">
        <w:rPr>
          <w:rFonts w:ascii="Times New Roman" w:eastAsiaTheme="minorEastAsia" w:hAnsi="Times New Roman" w:cs="Times New Roman"/>
          <w:color w:val="000000"/>
          <w:kern w:val="0"/>
          <w14:ligatures w14:val="none"/>
        </w:rPr>
        <w:t xml:space="preserve"> While Bloomberg and FactSet dominate the institutional market, there is a growing trend of SaaS startups offering lighter, more affordable alternatives. FINDEX enters this space with the advantage of </w:t>
      </w:r>
      <w:r w:rsidRPr="00D441A6">
        <w:rPr>
          <w:rFonts w:ascii="Times New Roman" w:eastAsiaTheme="minorEastAsia" w:hAnsi="Times New Roman" w:cs="Times New Roman"/>
          <w:b/>
          <w:bCs/>
          <w:color w:val="000000"/>
          <w:kern w:val="0"/>
          <w14:ligatures w14:val="none"/>
        </w:rPr>
        <w:t>AI-powered curation</w:t>
      </w:r>
      <w:r w:rsidRPr="00D441A6">
        <w:rPr>
          <w:rFonts w:ascii="Times New Roman" w:eastAsiaTheme="minorEastAsia" w:hAnsi="Times New Roman" w:cs="Times New Roman"/>
          <w:color w:val="000000"/>
          <w:kern w:val="0"/>
          <w14:ligatures w14:val="none"/>
        </w:rPr>
        <w:t> and </w:t>
      </w:r>
      <w:r w:rsidRPr="00D441A6">
        <w:rPr>
          <w:rFonts w:ascii="Times New Roman" w:eastAsiaTheme="minorEastAsia" w:hAnsi="Times New Roman" w:cs="Times New Roman"/>
          <w:b/>
          <w:bCs/>
          <w:color w:val="000000"/>
          <w:kern w:val="0"/>
          <w14:ligatures w14:val="none"/>
        </w:rPr>
        <w:t>accessibility for smaller users</w:t>
      </w:r>
      <w:r w:rsidRPr="00D441A6">
        <w:rPr>
          <w:rFonts w:ascii="Times New Roman" w:eastAsiaTheme="minorEastAsia" w:hAnsi="Times New Roman" w:cs="Times New Roman"/>
          <w:color w:val="000000"/>
          <w:kern w:val="0"/>
          <w14:ligatures w14:val="none"/>
        </w:rPr>
        <w:t>.</w:t>
      </w:r>
    </w:p>
    <w:p w14:paraId="6BB6B6A5" w14:textId="77777777" w:rsidR="00D441A6" w:rsidRPr="00D441A6" w:rsidRDefault="00D441A6" w:rsidP="00D441A6">
      <w:p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Competitor Analysis</w:t>
      </w:r>
    </w:p>
    <w:p w14:paraId="5B89D359" w14:textId="77777777" w:rsidR="00D441A6" w:rsidRPr="00D441A6" w:rsidRDefault="00D441A6" w:rsidP="00D441A6">
      <w:pPr>
        <w:numPr>
          <w:ilvl w:val="0"/>
          <w:numId w:val="8"/>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Bloomberg Terminal:</w:t>
      </w:r>
      <w:r w:rsidRPr="00D441A6">
        <w:rPr>
          <w:rFonts w:ascii="Times New Roman" w:eastAsiaTheme="minorEastAsia" w:hAnsi="Times New Roman" w:cs="Times New Roman"/>
          <w:color w:val="000000"/>
          <w:kern w:val="0"/>
          <w14:ligatures w14:val="none"/>
        </w:rPr>
        <w:t> Comprehensive but prohibitively expensive (~$25,000/year).</w:t>
      </w:r>
    </w:p>
    <w:p w14:paraId="517DDD77" w14:textId="77777777" w:rsidR="00D441A6" w:rsidRPr="00D441A6" w:rsidRDefault="00D441A6" w:rsidP="00D441A6">
      <w:pPr>
        <w:numPr>
          <w:ilvl w:val="0"/>
          <w:numId w:val="8"/>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FactSet/Capital IQ:</w:t>
      </w:r>
      <w:r w:rsidRPr="00D441A6">
        <w:rPr>
          <w:rFonts w:ascii="Times New Roman" w:eastAsiaTheme="minorEastAsia" w:hAnsi="Times New Roman" w:cs="Times New Roman"/>
          <w:color w:val="000000"/>
          <w:kern w:val="0"/>
          <w14:ligatures w14:val="none"/>
        </w:rPr>
        <w:t> Institutional focus, highly detailed but complex and costly.</w:t>
      </w:r>
    </w:p>
    <w:p w14:paraId="64A5F9CA" w14:textId="77777777" w:rsidR="00D441A6" w:rsidRPr="00D441A6" w:rsidRDefault="00D441A6" w:rsidP="00D441A6">
      <w:pPr>
        <w:numPr>
          <w:ilvl w:val="0"/>
          <w:numId w:val="8"/>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Yahoo Finance / Google Finance:</w:t>
      </w:r>
      <w:r w:rsidRPr="00D441A6">
        <w:rPr>
          <w:rFonts w:ascii="Times New Roman" w:eastAsiaTheme="minorEastAsia" w:hAnsi="Times New Roman" w:cs="Times New Roman"/>
          <w:color w:val="000000"/>
          <w:kern w:val="0"/>
          <w14:ligatures w14:val="none"/>
        </w:rPr>
        <w:t> Free and accessible but lacks reliability and depth.</w:t>
      </w:r>
      <w:r w:rsidRPr="00D441A6">
        <w:rPr>
          <w:rFonts w:ascii="Times New Roman" w:eastAsiaTheme="minorEastAsia" w:hAnsi="Times New Roman" w:cs="Times New Roman"/>
          <w:color w:val="000000"/>
          <w:kern w:val="0"/>
          <w14:ligatures w14:val="none"/>
        </w:rPr>
        <w:br/>
        <w:t>FINDEX bridges the gap with professional-grade accuracy at consumer-friendly prices.</w:t>
      </w:r>
    </w:p>
    <w:p w14:paraId="4E6CB93C" w14:textId="77777777" w:rsidR="00D441A6" w:rsidRPr="00D441A6" w:rsidRDefault="00D441A6" w:rsidP="00D441A6">
      <w:p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Company Analysis</w:t>
      </w:r>
      <w:r w:rsidRPr="00D441A6">
        <w:rPr>
          <w:rFonts w:ascii="Times New Roman" w:eastAsiaTheme="minorEastAsia" w:hAnsi="Times New Roman" w:cs="Times New Roman"/>
          <w:color w:val="000000"/>
          <w:kern w:val="0"/>
          <w14:ligatures w14:val="none"/>
        </w:rPr>
        <w:br/>
        <w:t>FINDEX is agile, lean, and innovative. However, as a new entrant it must overcome challenges in brand awareness, resource allocation, and competing against established giants.</w:t>
      </w:r>
    </w:p>
    <w:p w14:paraId="3C0B207E" w14:textId="77777777" w:rsidR="00D441A6" w:rsidRPr="00D441A6" w:rsidRDefault="00D441A6" w:rsidP="00D441A6">
      <w:p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Customer Analysis</w:t>
      </w:r>
      <w:r w:rsidRPr="00D441A6">
        <w:rPr>
          <w:rFonts w:ascii="Times New Roman" w:eastAsiaTheme="minorEastAsia" w:hAnsi="Times New Roman" w:cs="Times New Roman"/>
          <w:color w:val="000000"/>
          <w:kern w:val="0"/>
          <w14:ligatures w14:val="none"/>
        </w:rPr>
        <w:br/>
        <w:t>FINDEX’s core customers are:</w:t>
      </w:r>
    </w:p>
    <w:p w14:paraId="11EA589E" w14:textId="77777777" w:rsidR="00D441A6" w:rsidRPr="00D441A6" w:rsidRDefault="00D441A6" w:rsidP="00D441A6">
      <w:pPr>
        <w:numPr>
          <w:ilvl w:val="0"/>
          <w:numId w:val="4"/>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t>B2C:</w:t>
      </w:r>
      <w:r w:rsidRPr="00D441A6">
        <w:rPr>
          <w:rFonts w:ascii="Times New Roman" w:eastAsiaTheme="minorEastAsia" w:hAnsi="Times New Roman" w:cs="Times New Roman"/>
          <w:color w:val="000000"/>
          <w:kern w:val="0"/>
          <w14:ligatures w14:val="none"/>
        </w:rPr>
        <w:t> Individual investors, students, finance professionals-in-training. They need affordable, intuitive tools to stay informed.</w:t>
      </w:r>
    </w:p>
    <w:p w14:paraId="66566CE1" w14:textId="77777777" w:rsidR="00D441A6" w:rsidRPr="00D441A6" w:rsidRDefault="00D441A6" w:rsidP="00D441A6">
      <w:pPr>
        <w:numPr>
          <w:ilvl w:val="0"/>
          <w:numId w:val="4"/>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D441A6">
        <w:rPr>
          <w:rFonts w:ascii="Times New Roman" w:eastAsiaTheme="minorEastAsia" w:hAnsi="Times New Roman" w:cs="Times New Roman"/>
          <w:b/>
          <w:bCs/>
          <w:color w:val="000000"/>
          <w:kern w:val="0"/>
          <w14:ligatures w14:val="none"/>
        </w:rPr>
        <w:lastRenderedPageBreak/>
        <w:t>B2B:</w:t>
      </w:r>
      <w:r w:rsidRPr="00D441A6">
        <w:rPr>
          <w:rFonts w:ascii="Times New Roman" w:eastAsiaTheme="minorEastAsia" w:hAnsi="Times New Roman" w:cs="Times New Roman"/>
          <w:color w:val="000000"/>
          <w:kern w:val="0"/>
          <w14:ligatures w14:val="none"/>
        </w:rPr>
        <w:t> Small-to-medium financial firms, universities, and organizations seeking scalable, cost-efficient data tools.</w:t>
      </w:r>
    </w:p>
    <w:p w14:paraId="10C1CBBC" w14:textId="77777777" w:rsidR="004B5C2A" w:rsidRPr="00D441A6" w:rsidRDefault="004B5C2A" w:rsidP="004B5C2A">
      <w:pPr>
        <w:spacing w:before="100" w:beforeAutospacing="1" w:after="100" w:afterAutospacing="1" w:line="240" w:lineRule="auto"/>
        <w:ind w:left="360"/>
        <w:rPr>
          <w:rFonts w:ascii="Times New Roman" w:eastAsiaTheme="minorEastAsia" w:hAnsi="Times New Roman" w:cs="Times New Roman"/>
          <w:color w:val="000000"/>
          <w:kern w:val="0"/>
          <w14:ligatures w14:val="none"/>
        </w:rPr>
      </w:pPr>
    </w:p>
    <w:p w14:paraId="56E9148D" w14:textId="77777777" w:rsidR="0048415E" w:rsidRPr="0048415E" w:rsidRDefault="0048415E" w:rsidP="004841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8415E">
        <w:rPr>
          <w:rFonts w:ascii="Times New Roman" w:eastAsia="Times New Roman" w:hAnsi="Times New Roman" w:cs="Times New Roman"/>
          <w:b/>
          <w:bCs/>
          <w:color w:val="000000"/>
          <w:kern w:val="0"/>
          <w:sz w:val="36"/>
          <w:szCs w:val="36"/>
          <w14:ligatures w14:val="none"/>
        </w:rPr>
        <w:t>5. Market–Product Focus</w:t>
      </w:r>
    </w:p>
    <w:p w14:paraId="46C6546B" w14:textId="77777777" w:rsidR="0048415E" w:rsidRPr="0048415E" w:rsidRDefault="0048415E" w:rsidP="0048415E">
      <w:p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b/>
          <w:bCs/>
          <w:color w:val="000000"/>
          <w:kern w:val="0"/>
          <w14:ligatures w14:val="none"/>
        </w:rPr>
        <w:t>Marketing and Product Objectives</w:t>
      </w:r>
    </w:p>
    <w:p w14:paraId="41A155A0" w14:textId="77777777" w:rsidR="0048415E" w:rsidRPr="0048415E" w:rsidRDefault="0048415E" w:rsidP="0048415E">
      <w:pPr>
        <w:numPr>
          <w:ilvl w:val="0"/>
          <w:numId w:val="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color w:val="000000"/>
          <w:kern w:val="0"/>
          <w14:ligatures w14:val="none"/>
        </w:rPr>
        <w:t>Launch with three subscription tiers:</w:t>
      </w:r>
    </w:p>
    <w:p w14:paraId="655EC346" w14:textId="77777777" w:rsidR="0048415E" w:rsidRPr="0048415E" w:rsidRDefault="0048415E" w:rsidP="0048415E">
      <w:pPr>
        <w:numPr>
          <w:ilvl w:val="1"/>
          <w:numId w:val="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i/>
          <w:iCs/>
          <w:color w:val="000000"/>
          <w:kern w:val="0"/>
          <w14:ligatures w14:val="none"/>
        </w:rPr>
        <w:t>Basic Free Access</w:t>
      </w:r>
      <w:r w:rsidRPr="0048415E">
        <w:rPr>
          <w:rFonts w:ascii="Times New Roman" w:eastAsiaTheme="minorEastAsia" w:hAnsi="Times New Roman" w:cs="Times New Roman"/>
          <w:color w:val="000000"/>
          <w:kern w:val="0"/>
          <w14:ligatures w14:val="none"/>
        </w:rPr>
        <w:t> – limited aggregation and ranking.</w:t>
      </w:r>
    </w:p>
    <w:p w14:paraId="7F7640B3" w14:textId="50B4BC17" w:rsidR="0048415E" w:rsidRPr="0048415E" w:rsidRDefault="00C51487" w:rsidP="0048415E">
      <w:pPr>
        <w:numPr>
          <w:ilvl w:val="1"/>
          <w:numId w:val="1"/>
        </w:numPr>
        <w:spacing w:before="100" w:beforeAutospacing="1" w:after="100" w:afterAutospacing="1" w:line="240" w:lineRule="auto"/>
        <w:rPr>
          <w:rFonts w:ascii="Times New Roman" w:eastAsiaTheme="minorEastAsia" w:hAnsi="Times New Roman" w:cs="Times New Roman"/>
          <w:color w:val="000000"/>
          <w:kern w:val="0"/>
          <w14:ligatures w14:val="none"/>
        </w:rPr>
      </w:pPr>
      <w:r>
        <w:rPr>
          <w:rFonts w:ascii="Times New Roman" w:eastAsiaTheme="minorEastAsia" w:hAnsi="Times New Roman" w:cs="Times New Roman"/>
          <w:i/>
          <w:iCs/>
          <w:color w:val="000000"/>
          <w:kern w:val="0"/>
          <w14:ligatures w14:val="none"/>
        </w:rPr>
        <w:t>Paid/</w:t>
      </w:r>
      <w:r w:rsidR="0048415E" w:rsidRPr="0048415E">
        <w:rPr>
          <w:rFonts w:ascii="Times New Roman" w:eastAsiaTheme="minorEastAsia" w:hAnsi="Times New Roman" w:cs="Times New Roman"/>
          <w:i/>
          <w:iCs/>
          <w:color w:val="000000"/>
          <w:kern w:val="0"/>
          <w14:ligatures w14:val="none"/>
        </w:rPr>
        <w:t>Pro ($20/month)</w:t>
      </w:r>
      <w:r w:rsidR="0048415E" w:rsidRPr="0048415E">
        <w:rPr>
          <w:rFonts w:ascii="Times New Roman" w:eastAsiaTheme="minorEastAsia" w:hAnsi="Times New Roman" w:cs="Times New Roman"/>
          <w:color w:val="000000"/>
          <w:kern w:val="0"/>
          <w14:ligatures w14:val="none"/>
        </w:rPr>
        <w:t> – full access, sector customization, keyword alerts.</w:t>
      </w:r>
    </w:p>
    <w:p w14:paraId="769CFEEC" w14:textId="77777777" w:rsidR="0048415E" w:rsidRPr="0048415E" w:rsidRDefault="0048415E" w:rsidP="0048415E">
      <w:pPr>
        <w:numPr>
          <w:ilvl w:val="1"/>
          <w:numId w:val="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i/>
          <w:iCs/>
          <w:color w:val="000000"/>
          <w:kern w:val="0"/>
          <w14:ligatures w14:val="none"/>
        </w:rPr>
        <w:t>Enterprise ($75/month)</w:t>
      </w:r>
      <w:r w:rsidRPr="0048415E">
        <w:rPr>
          <w:rFonts w:ascii="Times New Roman" w:eastAsiaTheme="minorEastAsia" w:hAnsi="Times New Roman" w:cs="Times New Roman"/>
          <w:color w:val="000000"/>
          <w:kern w:val="0"/>
          <w14:ligatures w14:val="none"/>
        </w:rPr>
        <w:t> – portfolio recognition, team dashboards, targeted sector analysis.</w:t>
      </w:r>
    </w:p>
    <w:p w14:paraId="7FEC9326" w14:textId="77777777" w:rsidR="0048415E" w:rsidRPr="0048415E" w:rsidRDefault="0048415E" w:rsidP="0048415E">
      <w:pPr>
        <w:numPr>
          <w:ilvl w:val="0"/>
          <w:numId w:val="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color w:val="000000"/>
          <w:kern w:val="0"/>
          <w14:ligatures w14:val="none"/>
        </w:rPr>
        <w:t>Secure 1,500 subscriptions in Year 1 and expand to 5,000 by Year 3.</w:t>
      </w:r>
    </w:p>
    <w:p w14:paraId="31D61CE8" w14:textId="77777777" w:rsidR="0048415E" w:rsidRPr="0048415E" w:rsidRDefault="0048415E" w:rsidP="0048415E">
      <w:pPr>
        <w:numPr>
          <w:ilvl w:val="0"/>
          <w:numId w:val="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color w:val="000000"/>
          <w:kern w:val="0"/>
          <w14:ligatures w14:val="none"/>
        </w:rPr>
        <w:t>Expand into university partnerships and incubator programs for customer acquisition.</w:t>
      </w:r>
    </w:p>
    <w:p w14:paraId="7E1FACBF" w14:textId="77777777" w:rsidR="0048415E" w:rsidRPr="0048415E" w:rsidRDefault="0048415E" w:rsidP="0048415E">
      <w:p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b/>
          <w:bCs/>
          <w:color w:val="000000"/>
          <w:kern w:val="0"/>
          <w14:ligatures w14:val="none"/>
        </w:rPr>
        <w:t>Target Markets</w:t>
      </w:r>
    </w:p>
    <w:p w14:paraId="20330BA2" w14:textId="77777777" w:rsidR="0048415E" w:rsidRPr="0048415E" w:rsidRDefault="0048415E" w:rsidP="0048415E">
      <w:pPr>
        <w:numPr>
          <w:ilvl w:val="0"/>
          <w:numId w:val="1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b/>
          <w:bCs/>
          <w:color w:val="000000"/>
          <w:kern w:val="0"/>
          <w14:ligatures w14:val="none"/>
        </w:rPr>
        <w:t>Primary:</w:t>
      </w:r>
      <w:r w:rsidRPr="0048415E">
        <w:rPr>
          <w:rFonts w:ascii="Times New Roman" w:eastAsiaTheme="minorEastAsia" w:hAnsi="Times New Roman" w:cs="Times New Roman"/>
          <w:color w:val="000000"/>
          <w:kern w:val="0"/>
          <w14:ligatures w14:val="none"/>
        </w:rPr>
        <w:t xml:space="preserve"> Finance students, independent investors, and professionals </w:t>
      </w:r>
      <w:proofErr w:type="gramStart"/>
      <w:r w:rsidRPr="0048415E">
        <w:rPr>
          <w:rFonts w:ascii="Times New Roman" w:eastAsiaTheme="minorEastAsia" w:hAnsi="Times New Roman" w:cs="Times New Roman"/>
          <w:color w:val="000000"/>
          <w:kern w:val="0"/>
          <w14:ligatures w14:val="none"/>
        </w:rPr>
        <w:t>priced</w:t>
      </w:r>
      <w:proofErr w:type="gramEnd"/>
      <w:r w:rsidRPr="0048415E">
        <w:rPr>
          <w:rFonts w:ascii="Times New Roman" w:eastAsiaTheme="minorEastAsia" w:hAnsi="Times New Roman" w:cs="Times New Roman"/>
          <w:color w:val="000000"/>
          <w:kern w:val="0"/>
          <w14:ligatures w14:val="none"/>
        </w:rPr>
        <w:t xml:space="preserve"> out of Bloomberg.</w:t>
      </w:r>
    </w:p>
    <w:p w14:paraId="6151FD12" w14:textId="77777777" w:rsidR="0048415E" w:rsidRPr="0048415E" w:rsidRDefault="0048415E" w:rsidP="0048415E">
      <w:pPr>
        <w:numPr>
          <w:ilvl w:val="0"/>
          <w:numId w:val="1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b/>
          <w:bCs/>
          <w:color w:val="000000"/>
          <w:kern w:val="0"/>
          <w14:ligatures w14:val="none"/>
        </w:rPr>
        <w:t>Secondary:</w:t>
      </w:r>
      <w:r w:rsidRPr="0048415E">
        <w:rPr>
          <w:rFonts w:ascii="Times New Roman" w:eastAsiaTheme="minorEastAsia" w:hAnsi="Times New Roman" w:cs="Times New Roman"/>
          <w:color w:val="000000"/>
          <w:kern w:val="0"/>
          <w14:ligatures w14:val="none"/>
        </w:rPr>
        <w:t> Universities, small investment firms, fintech startups.</w:t>
      </w:r>
    </w:p>
    <w:p w14:paraId="216696B9" w14:textId="77777777" w:rsidR="0048415E" w:rsidRPr="0048415E" w:rsidRDefault="0048415E" w:rsidP="0048415E">
      <w:p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b/>
          <w:bCs/>
          <w:color w:val="000000"/>
          <w:kern w:val="0"/>
          <w14:ligatures w14:val="none"/>
        </w:rPr>
        <w:t>Differentiation Points</w:t>
      </w:r>
    </w:p>
    <w:p w14:paraId="77B1025B" w14:textId="77777777" w:rsidR="0048415E" w:rsidRPr="0048415E" w:rsidRDefault="0048415E" w:rsidP="0048415E">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color w:val="000000"/>
          <w:kern w:val="0"/>
          <w14:ligatures w14:val="none"/>
        </w:rPr>
        <w:t>Affordable subscription model.</w:t>
      </w:r>
    </w:p>
    <w:p w14:paraId="5CB46461" w14:textId="77777777" w:rsidR="0048415E" w:rsidRPr="0048415E" w:rsidRDefault="0048415E" w:rsidP="0048415E">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color w:val="000000"/>
          <w:kern w:val="0"/>
          <w14:ligatures w14:val="none"/>
        </w:rPr>
        <w:t>Proprietary financial article tokenization engine.</w:t>
      </w:r>
    </w:p>
    <w:p w14:paraId="0F7BB8BB" w14:textId="77777777" w:rsidR="0048415E" w:rsidRPr="0048415E" w:rsidRDefault="0048415E" w:rsidP="0048415E">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color w:val="000000"/>
          <w:kern w:val="0"/>
          <w14:ligatures w14:val="none"/>
        </w:rPr>
        <w:t>Dual appeal (B2C affordability + B2B scalability).</w:t>
      </w:r>
    </w:p>
    <w:p w14:paraId="186A8918" w14:textId="77777777" w:rsidR="0048415E" w:rsidRPr="0048415E" w:rsidRDefault="0048415E" w:rsidP="0048415E">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color w:val="000000"/>
          <w:kern w:val="0"/>
          <w14:ligatures w14:val="none"/>
        </w:rPr>
        <w:t>Commitment to impartiality and no reselling of customer data.</w:t>
      </w:r>
    </w:p>
    <w:p w14:paraId="4A1A292C" w14:textId="3CCE6CD1" w:rsidR="00472A82" w:rsidRDefault="0048415E" w:rsidP="0048415E">
      <w:pPr>
        <w:spacing w:before="100" w:beforeAutospacing="1" w:after="100" w:afterAutospacing="1" w:line="240" w:lineRule="auto"/>
        <w:rPr>
          <w:rFonts w:ascii="Times New Roman" w:eastAsiaTheme="minorEastAsia" w:hAnsi="Times New Roman" w:cs="Times New Roman"/>
          <w:color w:val="000000"/>
          <w:kern w:val="0"/>
          <w14:ligatures w14:val="none"/>
        </w:rPr>
      </w:pPr>
      <w:r w:rsidRPr="0048415E">
        <w:rPr>
          <w:rFonts w:ascii="Times New Roman" w:eastAsiaTheme="minorEastAsia" w:hAnsi="Times New Roman" w:cs="Times New Roman"/>
          <w:b/>
          <w:bCs/>
          <w:color w:val="000000"/>
          <w:kern w:val="0"/>
          <w14:ligatures w14:val="none"/>
        </w:rPr>
        <w:t>Positioning</w:t>
      </w:r>
      <w:r w:rsidRPr="0048415E">
        <w:rPr>
          <w:rFonts w:ascii="Times New Roman" w:eastAsiaTheme="minorEastAsia" w:hAnsi="Times New Roman" w:cs="Times New Roman"/>
          <w:color w:val="000000"/>
          <w:kern w:val="0"/>
          <w14:ligatures w14:val="none"/>
        </w:rPr>
        <w:br/>
        <w:t>FINDEX will position itself as the </w:t>
      </w:r>
      <w:r w:rsidRPr="0048415E">
        <w:rPr>
          <w:rFonts w:ascii="Times New Roman" w:eastAsiaTheme="minorEastAsia" w:hAnsi="Times New Roman" w:cs="Times New Roman"/>
          <w:b/>
          <w:bCs/>
          <w:color w:val="000000"/>
          <w:kern w:val="0"/>
          <w14:ligatures w14:val="none"/>
        </w:rPr>
        <w:t>accessible, affordable alternative to Bloomberg</w:t>
      </w:r>
      <w:r w:rsidRPr="0048415E">
        <w:rPr>
          <w:rFonts w:ascii="Times New Roman" w:eastAsiaTheme="minorEastAsia" w:hAnsi="Times New Roman" w:cs="Times New Roman"/>
          <w:color w:val="000000"/>
          <w:kern w:val="0"/>
          <w14:ligatures w14:val="none"/>
        </w:rPr>
        <w:t>. Our identity is defined by delivering financial insights that are accurate, clean, and practical without the overwhelming complexity or cost of traditional platforms.</w:t>
      </w:r>
    </w:p>
    <w:p w14:paraId="1FFCB592" w14:textId="2915DF39" w:rsidR="0048415E" w:rsidRPr="0048415E" w:rsidRDefault="00472A82" w:rsidP="00472A82">
      <w:pPr>
        <w:rPr>
          <w:rFonts w:ascii="Times New Roman" w:eastAsiaTheme="minorEastAsia" w:hAnsi="Times New Roman" w:cs="Times New Roman"/>
          <w:color w:val="000000"/>
          <w:kern w:val="0"/>
          <w14:ligatures w14:val="none"/>
        </w:rPr>
      </w:pPr>
      <w:r>
        <w:rPr>
          <w:rFonts w:ascii="Times New Roman" w:eastAsiaTheme="minorEastAsia" w:hAnsi="Times New Roman" w:cs="Times New Roman"/>
          <w:color w:val="000000"/>
          <w:kern w:val="0"/>
          <w14:ligatures w14:val="none"/>
        </w:rPr>
        <w:br w:type="page"/>
      </w:r>
    </w:p>
    <w:p w14:paraId="098A4360" w14:textId="77777777" w:rsidR="00472A82" w:rsidRPr="00472A82" w:rsidRDefault="00472A82" w:rsidP="00472A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2A82">
        <w:rPr>
          <w:rFonts w:ascii="Times New Roman" w:eastAsia="Times New Roman" w:hAnsi="Times New Roman" w:cs="Times New Roman"/>
          <w:b/>
          <w:bCs/>
          <w:kern w:val="0"/>
          <w:sz w:val="36"/>
          <w:szCs w:val="36"/>
          <w14:ligatures w14:val="none"/>
        </w:rPr>
        <w:lastRenderedPageBreak/>
        <w:t>Marketing Program Strategy and Tactics</w:t>
      </w:r>
    </w:p>
    <w:p w14:paraId="18476377" w14:textId="77777777" w:rsidR="00472A82" w:rsidRPr="00472A82" w:rsidRDefault="00472A82" w:rsidP="00472A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2A82">
        <w:rPr>
          <w:rFonts w:ascii="Times New Roman" w:eastAsia="Times New Roman" w:hAnsi="Times New Roman" w:cs="Times New Roman"/>
          <w:b/>
          <w:bCs/>
          <w:kern w:val="0"/>
          <w:sz w:val="27"/>
          <w:szCs w:val="27"/>
          <w14:ligatures w14:val="none"/>
        </w:rPr>
        <w:t>Product Strategy</w:t>
      </w:r>
    </w:p>
    <w:p w14:paraId="05BF7871"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 xml:space="preserve">FINDEX operates as a disruptive SaaS platform, offering multiple versions of its service tailored to different user needs and price points. Each version is delivered through </w:t>
      </w:r>
      <w:proofErr w:type="gramStart"/>
      <w:r w:rsidRPr="00472A82">
        <w:rPr>
          <w:rFonts w:ascii="Times New Roman" w:eastAsia="Times New Roman" w:hAnsi="Times New Roman" w:cs="Times New Roman"/>
          <w:kern w:val="0"/>
          <w14:ligatures w14:val="none"/>
        </w:rPr>
        <w:t>a server</w:t>
      </w:r>
      <w:proofErr w:type="gramEnd"/>
      <w:r w:rsidRPr="00472A82">
        <w:rPr>
          <w:rFonts w:ascii="Times New Roman" w:eastAsia="Times New Roman" w:hAnsi="Times New Roman" w:cs="Times New Roman"/>
          <w:kern w:val="0"/>
          <w14:ligatures w14:val="none"/>
        </w:rPr>
        <w:t>-side architecture, where data is aggregated, processed, tokenized, and ranked centrally before being distributed to users. This structure allows FINDEX to maintain control over data quality, consistency, and security while enabling scalable service delivery.</w:t>
      </w:r>
    </w:p>
    <w:p w14:paraId="1D7C40F9"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Higher subscription tiers include bundled services such as enhanced AI-driven summarization, advanced filtering, and data integration capabilities. This tiered product structure ensures that FINDEX can serve both individual users and small organizations while preserving a clear upgrade path as user needs become more sophisticated.</w:t>
      </w:r>
    </w:p>
    <w:p w14:paraId="42D55398" w14:textId="77777777" w:rsidR="00472A82" w:rsidRPr="00472A82" w:rsidRDefault="00000000" w:rsidP="00472A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118E1">
          <v:rect id="_x0000_i1025" style="width:0;height:1.5pt" o:hralign="center" o:hrstd="t" o:hr="t" fillcolor="#a0a0a0" stroked="f"/>
        </w:pict>
      </w:r>
    </w:p>
    <w:p w14:paraId="0CF4BE78" w14:textId="77777777" w:rsidR="00472A82" w:rsidRPr="00472A82" w:rsidRDefault="00472A82" w:rsidP="00472A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2A82">
        <w:rPr>
          <w:rFonts w:ascii="Times New Roman" w:eastAsia="Times New Roman" w:hAnsi="Times New Roman" w:cs="Times New Roman"/>
          <w:b/>
          <w:bCs/>
          <w:kern w:val="0"/>
          <w:sz w:val="27"/>
          <w:szCs w:val="27"/>
          <w14:ligatures w14:val="none"/>
        </w:rPr>
        <w:t>Pricing Strategy</w:t>
      </w:r>
    </w:p>
    <w:p w14:paraId="243BC9AD"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FINDEX employs a tiered subscription pricing model designed to balance accessibility with scalability:</w:t>
      </w:r>
    </w:p>
    <w:p w14:paraId="24B4C1A6" w14:textId="77777777" w:rsidR="00472A82" w:rsidRPr="00472A82" w:rsidRDefault="00472A82" w:rsidP="00472A8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b/>
          <w:bCs/>
          <w:kern w:val="0"/>
          <w14:ligatures w14:val="none"/>
        </w:rPr>
        <w:t>Baseline Tier ($10–$15/month):</w:t>
      </w:r>
      <w:r w:rsidRPr="00472A82">
        <w:rPr>
          <w:rFonts w:ascii="Times New Roman" w:eastAsia="Times New Roman" w:hAnsi="Times New Roman" w:cs="Times New Roman"/>
          <w:kern w:val="0"/>
          <w14:ligatures w14:val="none"/>
        </w:rPr>
        <w:br/>
        <w:t>Intended for individual users, this tier provides aggregated financial information and AI-generated summaries of major market events. The focus is on affordability and ease of access.</w:t>
      </w:r>
    </w:p>
    <w:p w14:paraId="4575C1F0" w14:textId="77777777" w:rsidR="00472A82" w:rsidRPr="00472A82" w:rsidRDefault="00472A82" w:rsidP="00472A8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b/>
          <w:bCs/>
          <w:kern w:val="0"/>
          <w14:ligatures w14:val="none"/>
        </w:rPr>
        <w:t>Advanced Tier ($20–$25/month):</w:t>
      </w:r>
      <w:r w:rsidRPr="00472A82">
        <w:rPr>
          <w:rFonts w:ascii="Times New Roman" w:eastAsia="Times New Roman" w:hAnsi="Times New Roman" w:cs="Times New Roman"/>
          <w:kern w:val="0"/>
          <w14:ligatures w14:val="none"/>
        </w:rPr>
        <w:br/>
        <w:t>This tier offers more detailed AI-driven summaries and expanded accessibility features, allowing users to engage with financial events at greater depth for a modest additional cost.</w:t>
      </w:r>
    </w:p>
    <w:p w14:paraId="519DFCB6" w14:textId="77777777" w:rsidR="00472A82" w:rsidRPr="00472A82" w:rsidRDefault="00472A82" w:rsidP="00472A8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b/>
          <w:bCs/>
          <w:kern w:val="0"/>
          <w14:ligatures w14:val="none"/>
        </w:rPr>
        <w:t>Professional Tier ($40–$75/month):</w:t>
      </w:r>
      <w:r w:rsidRPr="00472A82">
        <w:rPr>
          <w:rFonts w:ascii="Times New Roman" w:eastAsia="Times New Roman" w:hAnsi="Times New Roman" w:cs="Times New Roman"/>
          <w:kern w:val="0"/>
          <w14:ligatures w14:val="none"/>
        </w:rPr>
        <w:br/>
        <w:t>Designed for small businesses and minor financial institutions, this tier includes API access to both raw tokenized data and AI-generated summaries. This approach democratizes access to structured financial data at a substantially lower cost than institutional competitors.</w:t>
      </w:r>
    </w:p>
    <w:p w14:paraId="34F4BADE"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Pricing is structured to remain competitive while reinforcing FINDEX’s positioning as an accessible alternative to enterprise platforms.</w:t>
      </w:r>
    </w:p>
    <w:p w14:paraId="2BB1ADF1" w14:textId="77777777" w:rsidR="00472A82" w:rsidRPr="00472A82" w:rsidRDefault="00000000" w:rsidP="00472A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943FB1">
          <v:rect id="_x0000_i1026" style="width:0;height:1.5pt" o:hralign="center" o:hrstd="t" o:hr="t" fillcolor="#a0a0a0" stroked="f"/>
        </w:pict>
      </w:r>
    </w:p>
    <w:p w14:paraId="3F698CEB" w14:textId="77777777" w:rsidR="00472A82" w:rsidRDefault="00472A82">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A6AC17A" w14:textId="2B35862F" w:rsidR="00472A82" w:rsidRPr="00472A82" w:rsidRDefault="00472A82" w:rsidP="00472A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2A82">
        <w:rPr>
          <w:rFonts w:ascii="Times New Roman" w:eastAsia="Times New Roman" w:hAnsi="Times New Roman" w:cs="Times New Roman"/>
          <w:b/>
          <w:bCs/>
          <w:kern w:val="0"/>
          <w:sz w:val="27"/>
          <w:szCs w:val="27"/>
          <w14:ligatures w14:val="none"/>
        </w:rPr>
        <w:lastRenderedPageBreak/>
        <w:t>Promotion Strategy</w:t>
      </w:r>
    </w:p>
    <w:p w14:paraId="4C8D57BC"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FINDEX’s promotional efforts initially emphasize cost-efficient digital channels. Social media platforms such as X (Twitter) and LinkedIn will be used to distribute curated financial insights on a daily or weekly basis, particularly during early morning hours prior to market opening.</w:t>
      </w:r>
    </w:p>
    <w:p w14:paraId="656BAF25"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These posts are intended to demonstrate the platform’s relevance by allowing users to observe correlations between published insights and subsequent market activity. To encourage early adoption, FINDEX will offer limited-time pricing incentives, including lifetime price locks for early subscribers within the baseline tier.</w:t>
      </w:r>
    </w:p>
    <w:p w14:paraId="6F2B1533"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As the subscriber base grows, access to certain insights will increasingly be gated to reinforce subscription value while maintaining selective public visibility to attract new users.</w:t>
      </w:r>
    </w:p>
    <w:p w14:paraId="62D941E8" w14:textId="77777777" w:rsidR="00472A82" w:rsidRPr="00472A82" w:rsidRDefault="00000000" w:rsidP="00472A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5C1582">
          <v:rect id="_x0000_i1027" style="width:0;height:1.5pt" o:hralign="center" o:hrstd="t" o:hr="t" fillcolor="#a0a0a0" stroked="f"/>
        </w:pict>
      </w:r>
    </w:p>
    <w:p w14:paraId="43C24F33" w14:textId="77777777" w:rsidR="00472A82" w:rsidRPr="00472A82" w:rsidRDefault="00472A82" w:rsidP="00472A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2A82">
        <w:rPr>
          <w:rFonts w:ascii="Times New Roman" w:eastAsia="Times New Roman" w:hAnsi="Times New Roman" w:cs="Times New Roman"/>
          <w:b/>
          <w:bCs/>
          <w:kern w:val="0"/>
          <w:sz w:val="27"/>
          <w:szCs w:val="27"/>
          <w14:ligatures w14:val="none"/>
        </w:rPr>
        <w:t>Distribution Strategy</w:t>
      </w:r>
    </w:p>
    <w:p w14:paraId="10654347"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FINDEX will initially distribute content through newsletter-style updates and social media channels, prioritizing visibility and engagement over immediate monetization. Email sign-ups will be supported, though early efforts will focus on driving engagement through public-facing platforms.</w:t>
      </w:r>
    </w:p>
    <w:p w14:paraId="17D2B5EA"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Once sufficient funding is secured, FINDEX plans to develop a dedicated application that integrates seamlessly with its API infrastructure. Lower-tier users will primarily access summarized insights and archived content, while higher-tier users will receive more targeted, customizable information. This distribution model incentivizes tier upgrades while preserving accessibility for entry-level users.</w:t>
      </w:r>
    </w:p>
    <w:p w14:paraId="0999918D" w14:textId="77777777" w:rsidR="00472A82" w:rsidRPr="00472A82" w:rsidRDefault="00000000" w:rsidP="00472A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1FC83">
          <v:rect id="_x0000_i1028" style="width:0;height:1.5pt" o:hralign="center" o:hrstd="t" o:hr="t" fillcolor="#a0a0a0" stroked="f"/>
        </w:pict>
      </w:r>
    </w:p>
    <w:p w14:paraId="637182E5" w14:textId="1B9A042F" w:rsidR="00472A82" w:rsidRPr="00472A82" w:rsidRDefault="00C51487" w:rsidP="00C51487">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r w:rsidR="00472A82" w:rsidRPr="00472A82">
        <w:rPr>
          <w:rFonts w:ascii="Times New Roman" w:eastAsia="Times New Roman" w:hAnsi="Times New Roman" w:cs="Times New Roman"/>
          <w:b/>
          <w:bCs/>
          <w:kern w:val="0"/>
          <w:sz w:val="36"/>
          <w:szCs w:val="36"/>
          <w14:ligatures w14:val="none"/>
        </w:rPr>
        <w:lastRenderedPageBreak/>
        <w:t>Financial Projections</w:t>
      </w:r>
    </w:p>
    <w:p w14:paraId="14B77FA2"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FINDEX anticipates gradual early-stage growth, with initial efforts focused on awareness and user acquisition rather than immediate profitability. During the first one to two months, the platform is expected to attract approximately 100–200 lower-tier subscribers, generating estimated monthly revenue between $1,500 and $3,000.</w:t>
      </w:r>
    </w:p>
    <w:p w14:paraId="5EA827AA" w14:textId="77777777" w:rsid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Revenues during this period will be reinvested into platform improvements and experimental feature development for higher-tier users. By the end of six months, FINDEX projects a subscriber base of approximately 500–700 users, including 100–150 higher-tier subscribers, resulting in projected monthly revenue of approximately $10,000, excluding potential enterprise partnerships and integrations.</w:t>
      </w:r>
    </w:p>
    <w:p w14:paraId="27EE3B02" w14:textId="795A721F" w:rsidR="00654C74" w:rsidRPr="00472A82" w:rsidRDefault="00654C74" w:rsidP="00472A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cs="Times New Roman"/>
          <w:noProof/>
        </w:rPr>
        <w:drawing>
          <wp:inline distT="0" distB="0" distL="0" distR="0" wp14:anchorId="1DD90A85" wp14:editId="2A756284">
            <wp:extent cx="5486400" cy="3200400"/>
            <wp:effectExtent l="0" t="0" r="0" b="0"/>
            <wp:docPr id="144093431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4069F56" w14:textId="77777777" w:rsidR="00472A82" w:rsidRPr="00472A82" w:rsidRDefault="00000000" w:rsidP="00472A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0F0BA">
          <v:rect id="_x0000_i1029" style="width:0;height:1.5pt" o:hralign="center" o:hrstd="t" o:hr="t" fillcolor="#a0a0a0" stroked="f"/>
        </w:pict>
      </w:r>
    </w:p>
    <w:p w14:paraId="3D1BACBD" w14:textId="77777777" w:rsidR="00472A82" w:rsidRPr="00472A82" w:rsidRDefault="00472A82" w:rsidP="00472A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2A82">
        <w:rPr>
          <w:rFonts w:ascii="Times New Roman" w:eastAsia="Times New Roman" w:hAnsi="Times New Roman" w:cs="Times New Roman"/>
          <w:b/>
          <w:bCs/>
          <w:kern w:val="0"/>
          <w:sz w:val="36"/>
          <w:szCs w:val="36"/>
          <w14:ligatures w14:val="none"/>
        </w:rPr>
        <w:t>Organizational Structure</w:t>
      </w:r>
    </w:p>
    <w:p w14:paraId="69BEAA4C"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FINDEX will initially operate using a team-based organizational structure to support agility, rapid development, and close collaboration. As the company grows, this structure will transition into a matrix framework to facilitate cross-functional collaboration and efficient resource allocation across technical, operational, and strategic functions.</w:t>
      </w:r>
    </w:p>
    <w:p w14:paraId="52980511" w14:textId="77777777" w:rsidR="00472A82" w:rsidRPr="00472A82" w:rsidRDefault="00000000" w:rsidP="00472A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FDFD1">
          <v:rect id="_x0000_i1030" style="width:0;height:1.5pt" o:hralign="center" o:hrstd="t" o:hr="t" fillcolor="#a0a0a0" stroked="f"/>
        </w:pict>
      </w:r>
    </w:p>
    <w:p w14:paraId="57464CFB" w14:textId="77777777" w:rsidR="00C51487" w:rsidRDefault="00C51487">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D0746C0" w14:textId="187B8FBF" w:rsidR="00472A82" w:rsidRPr="00472A82" w:rsidRDefault="00472A82" w:rsidP="00472A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2A82">
        <w:rPr>
          <w:rFonts w:ascii="Times New Roman" w:eastAsia="Times New Roman" w:hAnsi="Times New Roman" w:cs="Times New Roman"/>
          <w:b/>
          <w:bCs/>
          <w:kern w:val="0"/>
          <w:sz w:val="36"/>
          <w:szCs w:val="36"/>
          <w14:ligatures w14:val="none"/>
        </w:rPr>
        <w:lastRenderedPageBreak/>
        <w:t>Implementation Plan</w:t>
      </w:r>
    </w:p>
    <w:p w14:paraId="0B320AF8"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The initial implementation phase focuses on establishing FINDEX’s digital presence through social media accounts and branding assets. Subscription infrastructure and payment processing systems will be implemented concurrently to support early monetization.</w:t>
      </w:r>
    </w:p>
    <w:p w14:paraId="19DB900E"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As the subscriber base expands, higher-tier users will gain access to beta features and experimental tools, creating incentives for upgrades and providing valuable user feedback. Older platform versions will be gradually phased out as newer, more efficient models are introduced.</w:t>
      </w:r>
    </w:p>
    <w:p w14:paraId="17323943" w14:textId="77777777" w:rsidR="00472A82" w:rsidRPr="00472A82" w:rsidRDefault="00472A82" w:rsidP="00472A82">
      <w:pPr>
        <w:spacing w:before="100" w:beforeAutospacing="1" w:after="100" w:afterAutospacing="1" w:line="240" w:lineRule="auto"/>
        <w:rPr>
          <w:rFonts w:ascii="Times New Roman" w:eastAsia="Times New Roman" w:hAnsi="Times New Roman" w:cs="Times New Roman"/>
          <w:kern w:val="0"/>
          <w14:ligatures w14:val="none"/>
        </w:rPr>
      </w:pPr>
      <w:r w:rsidRPr="00472A82">
        <w:rPr>
          <w:rFonts w:ascii="Times New Roman" w:eastAsia="Times New Roman" w:hAnsi="Times New Roman" w:cs="Times New Roman"/>
          <w:kern w:val="0"/>
          <w14:ligatures w14:val="none"/>
        </w:rPr>
        <w:t>Customer retention strategies will emphasize perceived value through flexible pricing adjustments, temporary service enhancements, and tier-based incentives, reinforcing FINDEX’s commitment to long-term user engagement.</w:t>
      </w:r>
    </w:p>
    <w:p w14:paraId="41C34912" w14:textId="56A73B10" w:rsidR="00C31592" w:rsidRDefault="00000000" w:rsidP="00813B4C">
      <w:pPr>
        <w:rPr>
          <w:rFonts w:ascii="Times New Roman" w:hAnsi="Times New Roman" w:cs="Times New Roman"/>
        </w:rPr>
      </w:pPr>
      <w:r>
        <w:rPr>
          <w:rFonts w:ascii="Times New Roman" w:eastAsia="Times New Roman" w:hAnsi="Times New Roman" w:cs="Times New Roman"/>
          <w:kern w:val="0"/>
          <w14:ligatures w14:val="none"/>
        </w:rPr>
        <w:pict w14:anchorId="175C9AB1">
          <v:rect id="_x0000_i1031" style="width:0;height:1.5pt" o:hralign="center" o:hrstd="t" o:hr="t" fillcolor="#a0a0a0" stroked="f"/>
        </w:pict>
      </w:r>
    </w:p>
    <w:p w14:paraId="667E1470" w14:textId="77777777" w:rsidR="00C31592" w:rsidRDefault="00C31592">
      <w:pPr>
        <w:rPr>
          <w:rFonts w:ascii="Times New Roman" w:hAnsi="Times New Roman" w:cs="Times New Roman"/>
        </w:rPr>
      </w:pPr>
      <w:r>
        <w:rPr>
          <w:rFonts w:ascii="Times New Roman" w:hAnsi="Times New Roman" w:cs="Times New Roman"/>
        </w:rPr>
        <w:br w:type="page"/>
      </w:r>
    </w:p>
    <w:p w14:paraId="4E6362E0" w14:textId="5EFA75C8" w:rsidR="00A35E52" w:rsidRPr="00C31592" w:rsidRDefault="00C31592" w:rsidP="00C31592">
      <w:pPr>
        <w:jc w:val="center"/>
        <w:rPr>
          <w:rFonts w:ascii="Times New Roman" w:hAnsi="Times New Roman" w:cs="Times New Roman"/>
          <w:b/>
          <w:bCs/>
        </w:rPr>
      </w:pPr>
      <w:r w:rsidRPr="00C31592">
        <w:rPr>
          <w:rFonts w:ascii="Times New Roman" w:hAnsi="Times New Roman" w:cs="Times New Roman"/>
          <w:b/>
          <w:bCs/>
        </w:rPr>
        <w:lastRenderedPageBreak/>
        <w:t>References</w:t>
      </w:r>
    </w:p>
    <w:p w14:paraId="08C1FBB3" w14:textId="0B05CDF7" w:rsidR="00F67D6E" w:rsidRPr="00F67D6E" w:rsidRDefault="00F67D6E" w:rsidP="00F67D6E">
      <w:pPr>
        <w:spacing w:after="0" w:line="480" w:lineRule="auto"/>
        <w:ind w:left="720" w:hanging="720"/>
        <w:rPr>
          <w:rFonts w:ascii="Times New Roman" w:eastAsia="Times New Roman" w:hAnsi="Times New Roman" w:cs="Times New Roman"/>
          <w:kern w:val="0"/>
          <w14:ligatures w14:val="none"/>
        </w:rPr>
      </w:pPr>
      <w:r w:rsidRPr="00F67D6E">
        <w:rPr>
          <w:rFonts w:ascii="Times New Roman" w:eastAsia="Times New Roman" w:hAnsi="Times New Roman" w:cs="Times New Roman"/>
          <w:kern w:val="0"/>
          <w14:ligatures w14:val="none"/>
        </w:rPr>
        <w:t xml:space="preserve">Grand View Research. (2025). </w:t>
      </w:r>
      <w:r w:rsidRPr="00F67D6E">
        <w:rPr>
          <w:rFonts w:ascii="Times New Roman" w:eastAsia="Times New Roman" w:hAnsi="Times New Roman" w:cs="Times New Roman"/>
          <w:i/>
          <w:iCs/>
          <w:kern w:val="0"/>
          <w14:ligatures w14:val="none"/>
        </w:rPr>
        <w:t>Data Analytics Market Size, Share &amp; Growth Report, 2030</w:t>
      </w:r>
      <w:r w:rsidRPr="00F67D6E">
        <w:rPr>
          <w:rFonts w:ascii="Times New Roman" w:eastAsia="Times New Roman" w:hAnsi="Times New Roman" w:cs="Times New Roman"/>
          <w:kern w:val="0"/>
          <w14:ligatures w14:val="none"/>
        </w:rPr>
        <w:t>. Www.grandviewresearch.com. https://www.grandviewresearch.com/industry-analysis/data-analytics-market-report</w:t>
      </w:r>
    </w:p>
    <w:p w14:paraId="36C91306" w14:textId="77777777" w:rsidR="00C31592" w:rsidRPr="00C31592" w:rsidRDefault="00C31592" w:rsidP="00C31592">
      <w:pPr>
        <w:spacing w:after="0" w:line="480" w:lineRule="auto"/>
        <w:ind w:left="720" w:hanging="720"/>
        <w:rPr>
          <w:rFonts w:ascii="Times New Roman" w:eastAsia="Times New Roman" w:hAnsi="Times New Roman" w:cs="Times New Roman"/>
          <w:kern w:val="0"/>
          <w14:ligatures w14:val="none"/>
        </w:rPr>
      </w:pPr>
      <w:r w:rsidRPr="00C31592">
        <w:rPr>
          <w:rFonts w:ascii="Times New Roman" w:eastAsia="Times New Roman" w:hAnsi="Times New Roman" w:cs="Times New Roman"/>
          <w:kern w:val="0"/>
          <w14:ligatures w14:val="none"/>
        </w:rPr>
        <w:t xml:space="preserve">Insights, F. B. (2023, August 21). </w:t>
      </w:r>
      <w:r w:rsidRPr="00C31592">
        <w:rPr>
          <w:rFonts w:ascii="Times New Roman" w:eastAsia="Times New Roman" w:hAnsi="Times New Roman" w:cs="Times New Roman"/>
          <w:i/>
          <w:iCs/>
          <w:kern w:val="0"/>
          <w14:ligatures w14:val="none"/>
        </w:rPr>
        <w:t>Financial Analytics Market Size to Surpass USD 18.71 Billion by 2030, exhibiting a CAGR of 11.4%</w:t>
      </w:r>
      <w:r w:rsidRPr="00C31592">
        <w:rPr>
          <w:rFonts w:ascii="Times New Roman" w:eastAsia="Times New Roman" w:hAnsi="Times New Roman" w:cs="Times New Roman"/>
          <w:kern w:val="0"/>
          <w14:ligatures w14:val="none"/>
        </w:rPr>
        <w:t xml:space="preserve">. GlobeNewswire </w:t>
      </w:r>
      <w:proofErr w:type="gramStart"/>
      <w:r w:rsidRPr="00C31592">
        <w:rPr>
          <w:rFonts w:ascii="Times New Roman" w:eastAsia="Times New Roman" w:hAnsi="Times New Roman" w:cs="Times New Roman"/>
          <w:kern w:val="0"/>
          <w14:ligatures w14:val="none"/>
        </w:rPr>
        <w:t>News Room</w:t>
      </w:r>
      <w:proofErr w:type="gramEnd"/>
      <w:r w:rsidRPr="00C31592">
        <w:rPr>
          <w:rFonts w:ascii="Times New Roman" w:eastAsia="Times New Roman" w:hAnsi="Times New Roman" w:cs="Times New Roman"/>
          <w:kern w:val="0"/>
          <w14:ligatures w14:val="none"/>
        </w:rPr>
        <w:t>. https://www.globenewswire.com/news-release/2023/08/21/2728474/0/en/Financial-Analytics-Market-Size-to-Surpass-USD-18-71-Billion-by-2030-exhibiting-a-CAGR-of-11-4.html</w:t>
      </w:r>
    </w:p>
    <w:p w14:paraId="1E5EF897" w14:textId="77777777" w:rsidR="00C31592" w:rsidRPr="00251BA0" w:rsidRDefault="00C31592" w:rsidP="00813B4C">
      <w:pPr>
        <w:rPr>
          <w:rFonts w:ascii="Times New Roman" w:hAnsi="Times New Roman" w:cs="Times New Roman"/>
        </w:rPr>
      </w:pPr>
    </w:p>
    <w:sectPr w:rsidR="00C31592" w:rsidRPr="00251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D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10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23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B5EA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165478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1B41D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B3F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842B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A3E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065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4D59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F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62F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640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9225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78B112D"/>
    <w:multiLevelType w:val="multilevel"/>
    <w:tmpl w:val="1DF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372F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D006E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E2C6D"/>
    <w:multiLevelType w:val="hybridMultilevel"/>
    <w:tmpl w:val="EE921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671A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168107">
    <w:abstractNumId w:val="0"/>
  </w:num>
  <w:num w:numId="2" w16cid:durableId="1249343196">
    <w:abstractNumId w:val="13"/>
  </w:num>
  <w:num w:numId="3" w16cid:durableId="1312254920">
    <w:abstractNumId w:val="4"/>
  </w:num>
  <w:num w:numId="4" w16cid:durableId="1372074320">
    <w:abstractNumId w:val="2"/>
  </w:num>
  <w:num w:numId="5" w16cid:durableId="1373534537">
    <w:abstractNumId w:val="6"/>
  </w:num>
  <w:num w:numId="6" w16cid:durableId="1409036742">
    <w:abstractNumId w:val="12"/>
  </w:num>
  <w:num w:numId="7" w16cid:durableId="1496144151">
    <w:abstractNumId w:val="3"/>
  </w:num>
  <w:num w:numId="8" w16cid:durableId="184288285">
    <w:abstractNumId w:val="1"/>
  </w:num>
  <w:num w:numId="9" w16cid:durableId="1862089314">
    <w:abstractNumId w:val="5"/>
  </w:num>
  <w:num w:numId="10" w16cid:durableId="1953432937">
    <w:abstractNumId w:val="19"/>
  </w:num>
  <w:num w:numId="11" w16cid:durableId="2085640132">
    <w:abstractNumId w:val="10"/>
  </w:num>
  <w:num w:numId="12" w16cid:durableId="2141922228">
    <w:abstractNumId w:val="18"/>
  </w:num>
  <w:num w:numId="13" w16cid:durableId="299961094">
    <w:abstractNumId w:val="11"/>
  </w:num>
  <w:num w:numId="14" w16cid:durableId="391512072">
    <w:abstractNumId w:val="16"/>
  </w:num>
  <w:num w:numId="15" w16cid:durableId="56704123">
    <w:abstractNumId w:val="9"/>
  </w:num>
  <w:num w:numId="16" w16cid:durableId="697312600">
    <w:abstractNumId w:val="7"/>
  </w:num>
  <w:num w:numId="17" w16cid:durableId="795753152">
    <w:abstractNumId w:val="17"/>
  </w:num>
  <w:num w:numId="18" w16cid:durableId="857744017">
    <w:abstractNumId w:val="8"/>
  </w:num>
  <w:num w:numId="19" w16cid:durableId="920212404">
    <w:abstractNumId w:val="14"/>
  </w:num>
  <w:num w:numId="20" w16cid:durableId="152047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6C5"/>
    <w:rsid w:val="000027A2"/>
    <w:rsid w:val="000131D5"/>
    <w:rsid w:val="00015552"/>
    <w:rsid w:val="00016C3F"/>
    <w:rsid w:val="00043145"/>
    <w:rsid w:val="0004415B"/>
    <w:rsid w:val="000469D4"/>
    <w:rsid w:val="0007465F"/>
    <w:rsid w:val="000D3B81"/>
    <w:rsid w:val="000F0A81"/>
    <w:rsid w:val="000F2663"/>
    <w:rsid w:val="001051BC"/>
    <w:rsid w:val="0012537C"/>
    <w:rsid w:val="00131855"/>
    <w:rsid w:val="00135FC5"/>
    <w:rsid w:val="00137014"/>
    <w:rsid w:val="0014337C"/>
    <w:rsid w:val="00164103"/>
    <w:rsid w:val="00164DD5"/>
    <w:rsid w:val="00166581"/>
    <w:rsid w:val="00185B7D"/>
    <w:rsid w:val="001A288F"/>
    <w:rsid w:val="001A5952"/>
    <w:rsid w:val="001A7DEC"/>
    <w:rsid w:val="001B08D2"/>
    <w:rsid w:val="001B14DA"/>
    <w:rsid w:val="001B7B32"/>
    <w:rsid w:val="001D4B77"/>
    <w:rsid w:val="0020471B"/>
    <w:rsid w:val="00212E29"/>
    <w:rsid w:val="00226FDC"/>
    <w:rsid w:val="00251BA0"/>
    <w:rsid w:val="00266689"/>
    <w:rsid w:val="00266DFC"/>
    <w:rsid w:val="002679F4"/>
    <w:rsid w:val="00283854"/>
    <w:rsid w:val="00290085"/>
    <w:rsid w:val="00291D62"/>
    <w:rsid w:val="002A1531"/>
    <w:rsid w:val="002A5B4E"/>
    <w:rsid w:val="002A76AB"/>
    <w:rsid w:val="002D5CE5"/>
    <w:rsid w:val="002E19EB"/>
    <w:rsid w:val="002E59EC"/>
    <w:rsid w:val="002E69F4"/>
    <w:rsid w:val="002F0F53"/>
    <w:rsid w:val="002F4B68"/>
    <w:rsid w:val="00310BA0"/>
    <w:rsid w:val="0032494B"/>
    <w:rsid w:val="00330D63"/>
    <w:rsid w:val="0033323D"/>
    <w:rsid w:val="00340069"/>
    <w:rsid w:val="0034165D"/>
    <w:rsid w:val="00343789"/>
    <w:rsid w:val="00364804"/>
    <w:rsid w:val="00371882"/>
    <w:rsid w:val="003804BE"/>
    <w:rsid w:val="00380B25"/>
    <w:rsid w:val="0038304B"/>
    <w:rsid w:val="00392810"/>
    <w:rsid w:val="00394092"/>
    <w:rsid w:val="003A6D4E"/>
    <w:rsid w:val="003B76E5"/>
    <w:rsid w:val="003B7E41"/>
    <w:rsid w:val="003C02E5"/>
    <w:rsid w:val="003C0491"/>
    <w:rsid w:val="003D2255"/>
    <w:rsid w:val="003D43F2"/>
    <w:rsid w:val="003E167C"/>
    <w:rsid w:val="003E606A"/>
    <w:rsid w:val="003F5D15"/>
    <w:rsid w:val="00415BE5"/>
    <w:rsid w:val="0041664D"/>
    <w:rsid w:val="00421CC2"/>
    <w:rsid w:val="004255C7"/>
    <w:rsid w:val="00430697"/>
    <w:rsid w:val="00451737"/>
    <w:rsid w:val="004524E5"/>
    <w:rsid w:val="00455EBE"/>
    <w:rsid w:val="00460128"/>
    <w:rsid w:val="00472A82"/>
    <w:rsid w:val="0048415E"/>
    <w:rsid w:val="0048428F"/>
    <w:rsid w:val="004908F2"/>
    <w:rsid w:val="00491CFC"/>
    <w:rsid w:val="00494817"/>
    <w:rsid w:val="00494885"/>
    <w:rsid w:val="004973BD"/>
    <w:rsid w:val="004A0E4E"/>
    <w:rsid w:val="004A1B5B"/>
    <w:rsid w:val="004B5C2A"/>
    <w:rsid w:val="004C3A99"/>
    <w:rsid w:val="004D76B5"/>
    <w:rsid w:val="004E04DA"/>
    <w:rsid w:val="004E3372"/>
    <w:rsid w:val="004F5EC4"/>
    <w:rsid w:val="005046F2"/>
    <w:rsid w:val="00510611"/>
    <w:rsid w:val="0052117D"/>
    <w:rsid w:val="005215A6"/>
    <w:rsid w:val="00535CBF"/>
    <w:rsid w:val="005361E6"/>
    <w:rsid w:val="00556961"/>
    <w:rsid w:val="00566CA5"/>
    <w:rsid w:val="005960ED"/>
    <w:rsid w:val="005A3AF6"/>
    <w:rsid w:val="005A72F6"/>
    <w:rsid w:val="005E30D6"/>
    <w:rsid w:val="005E417F"/>
    <w:rsid w:val="005E418E"/>
    <w:rsid w:val="005E4A0F"/>
    <w:rsid w:val="005F0A7E"/>
    <w:rsid w:val="005F653C"/>
    <w:rsid w:val="00607457"/>
    <w:rsid w:val="00612CE7"/>
    <w:rsid w:val="006272A9"/>
    <w:rsid w:val="00632236"/>
    <w:rsid w:val="0063562C"/>
    <w:rsid w:val="0063665A"/>
    <w:rsid w:val="00654C74"/>
    <w:rsid w:val="006609C6"/>
    <w:rsid w:val="00676872"/>
    <w:rsid w:val="00677BD5"/>
    <w:rsid w:val="006841D6"/>
    <w:rsid w:val="00696A00"/>
    <w:rsid w:val="006B251C"/>
    <w:rsid w:val="006B49DE"/>
    <w:rsid w:val="006C1EE5"/>
    <w:rsid w:val="006C268C"/>
    <w:rsid w:val="006D30A4"/>
    <w:rsid w:val="006D33B8"/>
    <w:rsid w:val="006F5D3E"/>
    <w:rsid w:val="0070069E"/>
    <w:rsid w:val="007058AD"/>
    <w:rsid w:val="007205B5"/>
    <w:rsid w:val="0072558B"/>
    <w:rsid w:val="007322D8"/>
    <w:rsid w:val="007334D7"/>
    <w:rsid w:val="00736C09"/>
    <w:rsid w:val="00752F60"/>
    <w:rsid w:val="00755413"/>
    <w:rsid w:val="00772225"/>
    <w:rsid w:val="00784BFB"/>
    <w:rsid w:val="00785661"/>
    <w:rsid w:val="00794AFB"/>
    <w:rsid w:val="007C0C87"/>
    <w:rsid w:val="007D279A"/>
    <w:rsid w:val="007D40FB"/>
    <w:rsid w:val="007D780C"/>
    <w:rsid w:val="007E5B14"/>
    <w:rsid w:val="007E70F0"/>
    <w:rsid w:val="007F00E7"/>
    <w:rsid w:val="007F56C5"/>
    <w:rsid w:val="00813048"/>
    <w:rsid w:val="00813B4C"/>
    <w:rsid w:val="008169FD"/>
    <w:rsid w:val="008222F4"/>
    <w:rsid w:val="00826080"/>
    <w:rsid w:val="00836FD0"/>
    <w:rsid w:val="00860E07"/>
    <w:rsid w:val="00873E07"/>
    <w:rsid w:val="008A6B42"/>
    <w:rsid w:val="008B2D20"/>
    <w:rsid w:val="008B4E66"/>
    <w:rsid w:val="008C7A8B"/>
    <w:rsid w:val="008D142C"/>
    <w:rsid w:val="008D2F0B"/>
    <w:rsid w:val="008E1940"/>
    <w:rsid w:val="00911FDC"/>
    <w:rsid w:val="00935F99"/>
    <w:rsid w:val="00941F92"/>
    <w:rsid w:val="00942436"/>
    <w:rsid w:val="0094301F"/>
    <w:rsid w:val="009454AC"/>
    <w:rsid w:val="009475A9"/>
    <w:rsid w:val="00956289"/>
    <w:rsid w:val="00980B08"/>
    <w:rsid w:val="00982BA9"/>
    <w:rsid w:val="00987E65"/>
    <w:rsid w:val="009931A2"/>
    <w:rsid w:val="00996C23"/>
    <w:rsid w:val="00997D85"/>
    <w:rsid w:val="009A5DBF"/>
    <w:rsid w:val="009B00BE"/>
    <w:rsid w:val="009B2376"/>
    <w:rsid w:val="009B2FF6"/>
    <w:rsid w:val="009C05DC"/>
    <w:rsid w:val="009C1A8D"/>
    <w:rsid w:val="009C59CC"/>
    <w:rsid w:val="009C5CCA"/>
    <w:rsid w:val="009C704C"/>
    <w:rsid w:val="009D0CFD"/>
    <w:rsid w:val="009D22C3"/>
    <w:rsid w:val="009E231D"/>
    <w:rsid w:val="009E4DB2"/>
    <w:rsid w:val="00A051FA"/>
    <w:rsid w:val="00A06709"/>
    <w:rsid w:val="00A35E52"/>
    <w:rsid w:val="00A3C876"/>
    <w:rsid w:val="00A51700"/>
    <w:rsid w:val="00A57052"/>
    <w:rsid w:val="00A706D4"/>
    <w:rsid w:val="00A84C01"/>
    <w:rsid w:val="00AA3BD8"/>
    <w:rsid w:val="00AB0E43"/>
    <w:rsid w:val="00AC0553"/>
    <w:rsid w:val="00AD1E60"/>
    <w:rsid w:val="00AE0B26"/>
    <w:rsid w:val="00B0249E"/>
    <w:rsid w:val="00B0260B"/>
    <w:rsid w:val="00B06D11"/>
    <w:rsid w:val="00B110CF"/>
    <w:rsid w:val="00B13BFA"/>
    <w:rsid w:val="00B159BE"/>
    <w:rsid w:val="00B17130"/>
    <w:rsid w:val="00B362F3"/>
    <w:rsid w:val="00B36AD0"/>
    <w:rsid w:val="00B370F1"/>
    <w:rsid w:val="00B42C38"/>
    <w:rsid w:val="00B5598C"/>
    <w:rsid w:val="00B55EDA"/>
    <w:rsid w:val="00B61919"/>
    <w:rsid w:val="00B651F5"/>
    <w:rsid w:val="00B65333"/>
    <w:rsid w:val="00B7239F"/>
    <w:rsid w:val="00B7437F"/>
    <w:rsid w:val="00B8083B"/>
    <w:rsid w:val="00B81BA6"/>
    <w:rsid w:val="00B910CC"/>
    <w:rsid w:val="00B93475"/>
    <w:rsid w:val="00BA386A"/>
    <w:rsid w:val="00BD629E"/>
    <w:rsid w:val="00BD7BA0"/>
    <w:rsid w:val="00BE6239"/>
    <w:rsid w:val="00C11A04"/>
    <w:rsid w:val="00C1433B"/>
    <w:rsid w:val="00C26A7F"/>
    <w:rsid w:val="00C31592"/>
    <w:rsid w:val="00C333F6"/>
    <w:rsid w:val="00C34172"/>
    <w:rsid w:val="00C35237"/>
    <w:rsid w:val="00C3583B"/>
    <w:rsid w:val="00C377A3"/>
    <w:rsid w:val="00C4123C"/>
    <w:rsid w:val="00C51487"/>
    <w:rsid w:val="00CB1E62"/>
    <w:rsid w:val="00CC2C97"/>
    <w:rsid w:val="00CD6E59"/>
    <w:rsid w:val="00CF7F0B"/>
    <w:rsid w:val="00D22306"/>
    <w:rsid w:val="00D3730A"/>
    <w:rsid w:val="00D42947"/>
    <w:rsid w:val="00D430A9"/>
    <w:rsid w:val="00D441A6"/>
    <w:rsid w:val="00D55E01"/>
    <w:rsid w:val="00D571C7"/>
    <w:rsid w:val="00D61FB4"/>
    <w:rsid w:val="00D907AB"/>
    <w:rsid w:val="00DA172D"/>
    <w:rsid w:val="00DB2759"/>
    <w:rsid w:val="00DB4755"/>
    <w:rsid w:val="00DB6288"/>
    <w:rsid w:val="00DC1650"/>
    <w:rsid w:val="00DC73F2"/>
    <w:rsid w:val="00DD2DF1"/>
    <w:rsid w:val="00E0048F"/>
    <w:rsid w:val="00E058B3"/>
    <w:rsid w:val="00E15057"/>
    <w:rsid w:val="00E276F5"/>
    <w:rsid w:val="00E27852"/>
    <w:rsid w:val="00E301EF"/>
    <w:rsid w:val="00E36582"/>
    <w:rsid w:val="00E36E1B"/>
    <w:rsid w:val="00E420C2"/>
    <w:rsid w:val="00E50907"/>
    <w:rsid w:val="00E51679"/>
    <w:rsid w:val="00E65056"/>
    <w:rsid w:val="00E766CB"/>
    <w:rsid w:val="00E86E18"/>
    <w:rsid w:val="00EC2870"/>
    <w:rsid w:val="00EC6D1C"/>
    <w:rsid w:val="00ED3F64"/>
    <w:rsid w:val="00ED55D8"/>
    <w:rsid w:val="00EE374E"/>
    <w:rsid w:val="00EF4B6E"/>
    <w:rsid w:val="00EF54D9"/>
    <w:rsid w:val="00F00230"/>
    <w:rsid w:val="00F04B25"/>
    <w:rsid w:val="00F06F0A"/>
    <w:rsid w:val="00F06FE8"/>
    <w:rsid w:val="00F32B0C"/>
    <w:rsid w:val="00F348ED"/>
    <w:rsid w:val="00F425D7"/>
    <w:rsid w:val="00F4541C"/>
    <w:rsid w:val="00F4631A"/>
    <w:rsid w:val="00F57D98"/>
    <w:rsid w:val="00F67D6E"/>
    <w:rsid w:val="00FA1501"/>
    <w:rsid w:val="00FA7C5E"/>
    <w:rsid w:val="00FB6E34"/>
    <w:rsid w:val="00FD5290"/>
    <w:rsid w:val="00FD6364"/>
    <w:rsid w:val="00FE1E31"/>
    <w:rsid w:val="00FF0D80"/>
    <w:rsid w:val="00FF2A07"/>
    <w:rsid w:val="32EF7840"/>
    <w:rsid w:val="705E6B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D50B"/>
  <w15:chartTrackingRefBased/>
  <w15:docId w15:val="{7A6CA053-FD69-4951-ABCF-5AEA34BA1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6C5"/>
    <w:rPr>
      <w:rFonts w:eastAsiaTheme="majorEastAsia" w:cstheme="majorBidi"/>
      <w:color w:val="272727" w:themeColor="text1" w:themeTint="D8"/>
    </w:rPr>
  </w:style>
  <w:style w:type="paragraph" w:styleId="Title">
    <w:name w:val="Title"/>
    <w:basedOn w:val="Normal"/>
    <w:next w:val="Normal"/>
    <w:link w:val="TitleChar"/>
    <w:uiPriority w:val="10"/>
    <w:qFormat/>
    <w:rsid w:val="007F5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6C5"/>
    <w:pPr>
      <w:spacing w:before="160"/>
      <w:jc w:val="center"/>
    </w:pPr>
    <w:rPr>
      <w:i/>
      <w:iCs/>
      <w:color w:val="404040" w:themeColor="text1" w:themeTint="BF"/>
    </w:rPr>
  </w:style>
  <w:style w:type="character" w:customStyle="1" w:styleId="QuoteChar">
    <w:name w:val="Quote Char"/>
    <w:basedOn w:val="DefaultParagraphFont"/>
    <w:link w:val="Quote"/>
    <w:uiPriority w:val="29"/>
    <w:rsid w:val="007F56C5"/>
    <w:rPr>
      <w:i/>
      <w:iCs/>
      <w:color w:val="404040" w:themeColor="text1" w:themeTint="BF"/>
    </w:rPr>
  </w:style>
  <w:style w:type="paragraph" w:styleId="ListParagraph">
    <w:name w:val="List Paragraph"/>
    <w:basedOn w:val="Normal"/>
    <w:uiPriority w:val="34"/>
    <w:qFormat/>
    <w:rsid w:val="007F56C5"/>
    <w:pPr>
      <w:ind w:left="720"/>
      <w:contextualSpacing/>
    </w:pPr>
  </w:style>
  <w:style w:type="character" w:styleId="IntenseEmphasis">
    <w:name w:val="Intense Emphasis"/>
    <w:basedOn w:val="DefaultParagraphFont"/>
    <w:uiPriority w:val="21"/>
    <w:qFormat/>
    <w:rsid w:val="007F56C5"/>
    <w:rPr>
      <w:i/>
      <w:iCs/>
      <w:color w:val="0F4761" w:themeColor="accent1" w:themeShade="BF"/>
    </w:rPr>
  </w:style>
  <w:style w:type="paragraph" w:styleId="IntenseQuote">
    <w:name w:val="Intense Quote"/>
    <w:basedOn w:val="Normal"/>
    <w:next w:val="Normal"/>
    <w:link w:val="IntenseQuoteChar"/>
    <w:uiPriority w:val="30"/>
    <w:qFormat/>
    <w:rsid w:val="007F5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6C5"/>
    <w:rPr>
      <w:i/>
      <w:iCs/>
      <w:color w:val="0F4761" w:themeColor="accent1" w:themeShade="BF"/>
    </w:rPr>
  </w:style>
  <w:style w:type="character" w:styleId="IntenseReference">
    <w:name w:val="Intense Reference"/>
    <w:basedOn w:val="DefaultParagraphFont"/>
    <w:uiPriority w:val="32"/>
    <w:qFormat/>
    <w:rsid w:val="007F56C5"/>
    <w:rPr>
      <w:b/>
      <w:bCs/>
      <w:smallCaps/>
      <w:color w:val="0F4761" w:themeColor="accent1" w:themeShade="BF"/>
      <w:spacing w:val="5"/>
    </w:rPr>
  </w:style>
  <w:style w:type="paragraph" w:styleId="NormalWeb">
    <w:name w:val="Normal (Web)"/>
    <w:basedOn w:val="Normal"/>
    <w:uiPriority w:val="99"/>
    <w:semiHidden/>
    <w:unhideWhenUsed/>
    <w:rsid w:val="00813B4C"/>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apple-converted-space">
    <w:name w:val="apple-converted-space"/>
    <w:basedOn w:val="DefaultParagraphFont"/>
    <w:rsid w:val="00813B4C"/>
  </w:style>
  <w:style w:type="character" w:styleId="Strong">
    <w:name w:val="Strong"/>
    <w:basedOn w:val="DefaultParagraphFont"/>
    <w:uiPriority w:val="22"/>
    <w:qFormat/>
    <w:rsid w:val="00813B4C"/>
    <w:rPr>
      <w:b/>
      <w:bCs/>
    </w:rPr>
  </w:style>
  <w:style w:type="character" w:styleId="Emphasis">
    <w:name w:val="Emphasis"/>
    <w:basedOn w:val="DefaultParagraphFont"/>
    <w:uiPriority w:val="20"/>
    <w:qFormat/>
    <w:rsid w:val="00B559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r>
              <a:rPr lang="en-US"/>
              <a:t>FINDEX</a:t>
            </a:r>
            <a:r>
              <a:rPr lang="en-US" baseline="0"/>
              <a:t> Subscribers-per-Month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Subs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Sheet1!$A$2:$A$14</c:f>
              <c:strCache>
                <c:ptCount val="13"/>
                <c:pt idx="0">
                  <c:v>Jan</c:v>
                </c:pt>
                <c:pt idx="1">
                  <c:v>Feb</c:v>
                </c:pt>
                <c:pt idx="2">
                  <c:v>Mar</c:v>
                </c:pt>
                <c:pt idx="3">
                  <c:v>Apr</c:v>
                </c:pt>
                <c:pt idx="4">
                  <c:v>May</c:v>
                </c:pt>
                <c:pt idx="5">
                  <c:v>Jun</c:v>
                </c:pt>
                <c:pt idx="6">
                  <c:v>Jul</c:v>
                </c:pt>
                <c:pt idx="7">
                  <c:v>Aug</c:v>
                </c:pt>
                <c:pt idx="8">
                  <c:v>Sep</c:v>
                </c:pt>
                <c:pt idx="9">
                  <c:v>Oct</c:v>
                </c:pt>
                <c:pt idx="10">
                  <c:v>Nov</c:v>
                </c:pt>
                <c:pt idx="11">
                  <c:v>Dec</c:v>
                </c:pt>
                <c:pt idx="12">
                  <c:v>2027</c:v>
                </c:pt>
              </c:strCache>
            </c:strRef>
          </c:cat>
          <c:val>
            <c:numRef>
              <c:f>Sheet1!$B$2:$B$14</c:f>
              <c:numCache>
                <c:formatCode>General</c:formatCode>
                <c:ptCount val="13"/>
                <c:pt idx="0">
                  <c:v>15</c:v>
                </c:pt>
                <c:pt idx="1">
                  <c:v>50</c:v>
                </c:pt>
                <c:pt idx="2">
                  <c:v>125</c:v>
                </c:pt>
                <c:pt idx="3">
                  <c:v>250</c:v>
                </c:pt>
                <c:pt idx="4">
                  <c:v>400</c:v>
                </c:pt>
                <c:pt idx="5">
                  <c:v>600</c:v>
                </c:pt>
                <c:pt idx="6">
                  <c:v>800</c:v>
                </c:pt>
                <c:pt idx="7">
                  <c:v>1000</c:v>
                </c:pt>
                <c:pt idx="8">
                  <c:v>1150</c:v>
                </c:pt>
                <c:pt idx="9">
                  <c:v>1300</c:v>
                </c:pt>
                <c:pt idx="10">
                  <c:v>1400</c:v>
                </c:pt>
                <c:pt idx="11">
                  <c:v>1500</c:v>
                </c:pt>
                <c:pt idx="12">
                  <c:v>1600</c:v>
                </c:pt>
              </c:numCache>
            </c:numRef>
          </c:val>
          <c:smooth val="0"/>
          <c:extLst>
            <c:ext xmlns:c16="http://schemas.microsoft.com/office/drawing/2014/chart" uri="{C3380CC4-5D6E-409C-BE32-E72D297353CC}">
              <c16:uniqueId val="{00000000-D172-4A66-A3F1-C92DAA1993CD}"/>
            </c:ext>
          </c:extLst>
        </c:ser>
        <c:dLbls>
          <c:showLegendKey val="0"/>
          <c:showVal val="0"/>
          <c:showCatName val="0"/>
          <c:showSerName val="0"/>
          <c:showPercent val="0"/>
          <c:showBubbleSize val="0"/>
        </c:dLbls>
        <c:marker val="1"/>
        <c:smooth val="0"/>
        <c:axId val="1919192560"/>
        <c:axId val="1919191600"/>
      </c:lineChart>
      <c:catAx>
        <c:axId val="1919192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919191600"/>
        <c:crosses val="autoZero"/>
        <c:auto val="1"/>
        <c:lblAlgn val="ctr"/>
        <c:lblOffset val="100"/>
        <c:noMultiLvlLbl val="0"/>
      </c:catAx>
      <c:valAx>
        <c:axId val="1919191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919192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1705</Words>
  <Characters>11437</Characters>
  <Application>Microsoft Office Word</Application>
  <DocSecurity>0</DocSecurity>
  <Lines>228</Lines>
  <Paragraphs>105</Paragraphs>
  <ScaleCrop>false</ScaleCrop>
  <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Waseem</dc:creator>
  <cp:keywords/>
  <dc:description/>
  <cp:lastModifiedBy>Harris Waseem</cp:lastModifiedBy>
  <cp:revision>7</cp:revision>
  <dcterms:created xsi:type="dcterms:W3CDTF">2025-12-22T00:45:00Z</dcterms:created>
  <dcterms:modified xsi:type="dcterms:W3CDTF">2026-04-14T20:23:00Z</dcterms:modified>
</cp:coreProperties>
</file>