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7863" w14:textId="77777777" w:rsidR="00F2418E" w:rsidRDefault="00000000">
      <w:pPr>
        <w:pStyle w:val="Heading1"/>
      </w:pPr>
      <w:r>
        <w:t>Trader Behavior vs Market Sentiment – Summary</w:t>
      </w:r>
    </w:p>
    <w:p w14:paraId="321D7AFB" w14:textId="77777777" w:rsidR="00F2418E" w:rsidRDefault="00000000">
      <w:pPr>
        <w:pStyle w:val="Heading2"/>
      </w:pPr>
      <w:r>
        <w:t>Methodology</w:t>
      </w:r>
    </w:p>
    <w:p w14:paraId="66BD7B33" w14:textId="77777777" w:rsidR="006D3AA6" w:rsidRDefault="00000000">
      <w:r>
        <w:t xml:space="preserve">Two datasets were analyzed: </w:t>
      </w:r>
    </w:p>
    <w:p w14:paraId="3003C354" w14:textId="29F63E37" w:rsidR="00F2418E" w:rsidRDefault="00000000">
      <w:r>
        <w:t>(1) the Bitcoin Fear &amp; Greed Index and (2) historical trader execution data from Hyperliquid. Raw trading data was audited for missing values and schema mismatches, timestamps were standardized, and all analysis was aligned at a daily level. Trader-level features such as daily PnL, win rate, trade frequency, average trade size, and long/short ratio were engineered. These metrics were merged with daily market sentiment (Fear or Greed) to study how trader behavior and performance vary across sentiment regimes.</w:t>
      </w:r>
    </w:p>
    <w:p w14:paraId="1B6946AF" w14:textId="77777777" w:rsidR="00F2418E" w:rsidRDefault="00000000">
      <w:pPr>
        <w:pStyle w:val="Heading2"/>
      </w:pPr>
      <w:r>
        <w:t>Key Insights</w:t>
      </w:r>
    </w:p>
    <w:p w14:paraId="30C960E5" w14:textId="77777777" w:rsidR="00F2418E" w:rsidRDefault="00000000">
      <w:r>
        <w:t>1. Trader profitability is higher during Greed periods compared to Fear, with Fear days showing lower median PnL and higher downside risk.</w:t>
      </w:r>
      <w:r>
        <w:br/>
        <w:t>2. Traders reduce activity during Fear regimes and increase trade frequency during Greed, indicating sentiment-aware behavior.</w:t>
      </w:r>
      <w:r>
        <w:br/>
        <w:t>3. Frequent traders outperform infrequent traders primarily during Greed, while increased activity during Fear does not translate into better returns.</w:t>
      </w:r>
    </w:p>
    <w:p w14:paraId="3897094F" w14:textId="77777777" w:rsidR="00F2418E" w:rsidRDefault="00000000">
      <w:pPr>
        <w:pStyle w:val="Heading2"/>
      </w:pPr>
      <w:r>
        <w:t>Actionable Strategy</w:t>
      </w:r>
    </w:p>
    <w:p w14:paraId="154CE68E" w14:textId="77777777" w:rsidR="00F2418E" w:rsidRDefault="00000000">
      <w:r>
        <w:t>Based on these findings, sentiment-aware trading rules are recommended. During Greed periods, allow higher trade frequency for historically frequent and consistent traders to capitalize on favorable conditions. During Fear periods, prioritize capital preservation by reducing trade frequency and limiting position sizes, especially for inconsistent traders. Adapting trading aggressiveness dynamically to market sentiment can help improve risk-adjusted performance.</w:t>
      </w:r>
    </w:p>
    <w:sectPr w:rsidR="00F241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907561">
    <w:abstractNumId w:val="8"/>
  </w:num>
  <w:num w:numId="2" w16cid:durableId="761417415">
    <w:abstractNumId w:val="6"/>
  </w:num>
  <w:num w:numId="3" w16cid:durableId="579799439">
    <w:abstractNumId w:val="5"/>
  </w:num>
  <w:num w:numId="4" w16cid:durableId="421488399">
    <w:abstractNumId w:val="4"/>
  </w:num>
  <w:num w:numId="5" w16cid:durableId="1755778327">
    <w:abstractNumId w:val="7"/>
  </w:num>
  <w:num w:numId="6" w16cid:durableId="2129544617">
    <w:abstractNumId w:val="3"/>
  </w:num>
  <w:num w:numId="7" w16cid:durableId="204753186">
    <w:abstractNumId w:val="2"/>
  </w:num>
  <w:num w:numId="8" w16cid:durableId="2064987021">
    <w:abstractNumId w:val="1"/>
  </w:num>
  <w:num w:numId="9" w16cid:durableId="188228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814"/>
    <w:rsid w:val="006D3AA6"/>
    <w:rsid w:val="00AA1D8D"/>
    <w:rsid w:val="00B47730"/>
    <w:rsid w:val="00CB0664"/>
    <w:rsid w:val="00F241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B0890"/>
  <w14:defaultImageDpi w14:val="300"/>
  <w15:docId w15:val="{79771B90-4809-453A-A195-606CAE3A3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R.J NIHIL NOVAH</cp:lastModifiedBy>
  <cp:revision>2</cp:revision>
  <dcterms:created xsi:type="dcterms:W3CDTF">2013-12-23T23:15:00Z</dcterms:created>
  <dcterms:modified xsi:type="dcterms:W3CDTF">2026-02-10T08:11:00Z</dcterms:modified>
  <cp:category/>
</cp:coreProperties>
</file>