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9E62" w14:textId="77777777" w:rsidR="00943D53" w:rsidRPr="00C615B1" w:rsidRDefault="00C615B1">
      <w:pPr>
        <w:rPr>
          <w:b/>
          <w:sz w:val="22"/>
          <w:szCs w:val="22"/>
        </w:rPr>
      </w:pPr>
      <w:r w:rsidRPr="00C615B1">
        <w:rPr>
          <w:b/>
          <w:sz w:val="22"/>
          <w:szCs w:val="22"/>
        </w:rPr>
        <w:t>Supplemental Table 1</w:t>
      </w:r>
    </w:p>
    <w:p w14:paraId="1044BD2B" w14:textId="38986378" w:rsidR="00C615B1" w:rsidRPr="00EF7353" w:rsidRDefault="00C615B1" w:rsidP="00C615B1">
      <w:pPr>
        <w:rPr>
          <w:sz w:val="22"/>
          <w:szCs w:val="22"/>
        </w:rPr>
      </w:pPr>
      <w:r w:rsidRPr="00C615B1">
        <w:rPr>
          <w:color w:val="000000"/>
          <w:sz w:val="22"/>
          <w:szCs w:val="22"/>
          <w:shd w:val="clear" w:color="auto" w:fill="FFFFFF"/>
        </w:rPr>
        <w:t>Full results from targeted metabolomics analysis</w:t>
      </w:r>
      <w:r w:rsidRPr="00C615B1">
        <w:rPr>
          <w:color w:val="000000"/>
          <w:sz w:val="22"/>
          <w:szCs w:val="22"/>
        </w:rPr>
        <w:t xml:space="preserve">.  Treatments are noted as </w:t>
      </w:r>
      <w:proofErr w:type="spellStart"/>
      <w:r w:rsidRPr="00C615B1">
        <w:rPr>
          <w:color w:val="000000"/>
          <w:sz w:val="22"/>
          <w:szCs w:val="22"/>
        </w:rPr>
        <w:t>RCobSL</w:t>
      </w:r>
      <w:proofErr w:type="spellEnd"/>
      <w:r w:rsidRPr="00C615B1">
        <w:rPr>
          <w:color w:val="000000"/>
          <w:sz w:val="22"/>
          <w:szCs w:val="22"/>
        </w:rPr>
        <w:t xml:space="preserve"> (replete cobalamin, saturating light); </w:t>
      </w:r>
      <w:proofErr w:type="spellStart"/>
      <w:r w:rsidRPr="00C615B1">
        <w:rPr>
          <w:color w:val="000000"/>
          <w:sz w:val="22"/>
          <w:szCs w:val="22"/>
        </w:rPr>
        <w:t>RCobLL</w:t>
      </w:r>
      <w:proofErr w:type="spellEnd"/>
      <w:r w:rsidRPr="00C615B1">
        <w:rPr>
          <w:color w:val="000000"/>
          <w:sz w:val="22"/>
          <w:szCs w:val="22"/>
        </w:rPr>
        <w:t xml:space="preserve"> (replete cobalamin, low light); </w:t>
      </w:r>
      <w:proofErr w:type="spellStart"/>
      <w:r w:rsidRPr="00C615B1">
        <w:rPr>
          <w:color w:val="000000"/>
          <w:sz w:val="22"/>
          <w:szCs w:val="22"/>
        </w:rPr>
        <w:t>LCobSL</w:t>
      </w:r>
      <w:proofErr w:type="spellEnd"/>
      <w:r w:rsidRPr="00C615B1">
        <w:rPr>
          <w:color w:val="000000"/>
          <w:sz w:val="22"/>
          <w:szCs w:val="22"/>
        </w:rPr>
        <w:t xml:space="preserve"> (low cobalamin, saturating light); and </w:t>
      </w:r>
      <w:proofErr w:type="spellStart"/>
      <w:r w:rsidRPr="00C615B1">
        <w:rPr>
          <w:color w:val="000000"/>
          <w:sz w:val="22"/>
          <w:szCs w:val="22"/>
        </w:rPr>
        <w:t>LCobLL</w:t>
      </w:r>
      <w:proofErr w:type="spellEnd"/>
      <w:r w:rsidRPr="00C615B1">
        <w:rPr>
          <w:color w:val="000000"/>
          <w:sz w:val="22"/>
          <w:szCs w:val="22"/>
        </w:rPr>
        <w:t xml:space="preserve"> (low cobalamin, low light), each has three replicates (AB, CD, and EF).  Reported peak areas are adjusted (via B-MIS normalization (Boysen </w:t>
      </w:r>
      <w:r w:rsidRPr="00C615B1">
        <w:rPr>
          <w:i/>
          <w:color w:val="000000"/>
          <w:sz w:val="22"/>
          <w:szCs w:val="22"/>
        </w:rPr>
        <w:t>et. al.</w:t>
      </w:r>
      <w:r>
        <w:rPr>
          <w:color w:val="000000"/>
          <w:sz w:val="22"/>
          <w:szCs w:val="22"/>
        </w:rPr>
        <w:t xml:space="preserve"> (2018</w:t>
      </w:r>
      <w:r w:rsidRPr="00C615B1">
        <w:rPr>
          <w:color w:val="000000"/>
          <w:sz w:val="22"/>
          <w:szCs w:val="22"/>
        </w:rPr>
        <w:t>)) and then normalized to biomass.</w:t>
      </w:r>
      <w:r w:rsidR="00054631">
        <w:rPr>
          <w:color w:val="000000"/>
          <w:sz w:val="22"/>
          <w:szCs w:val="22"/>
        </w:rPr>
        <w:t xml:space="preserve"> FDR-adjusted p values are given for both </w:t>
      </w:r>
      <w:r w:rsidR="00EF7353">
        <w:rPr>
          <w:color w:val="000000"/>
          <w:sz w:val="22"/>
          <w:szCs w:val="22"/>
        </w:rPr>
        <w:t>saturating</w:t>
      </w:r>
      <w:r w:rsidR="00054631">
        <w:rPr>
          <w:color w:val="000000"/>
          <w:sz w:val="22"/>
          <w:szCs w:val="22"/>
        </w:rPr>
        <w:t xml:space="preserve"> light (</w:t>
      </w:r>
      <w:r w:rsidR="00EF7353">
        <w:rPr>
          <w:color w:val="000000"/>
          <w:sz w:val="22"/>
          <w:szCs w:val="22"/>
        </w:rPr>
        <w:t>S</w:t>
      </w:r>
      <w:r w:rsidR="00054631">
        <w:rPr>
          <w:color w:val="000000"/>
          <w:sz w:val="22"/>
          <w:szCs w:val="22"/>
        </w:rPr>
        <w:t>L) and low light (LL) univariate comparisons between cobalamin treatments</w:t>
      </w:r>
      <w:r w:rsidR="00EF7353">
        <w:rPr>
          <w:color w:val="000000"/>
          <w:sz w:val="22"/>
          <w:szCs w:val="22"/>
        </w:rPr>
        <w:t xml:space="preserve"> (</w:t>
      </w:r>
      <w:r w:rsidR="00EF7353">
        <w:rPr>
          <w:i/>
          <w:color w:val="000000"/>
          <w:sz w:val="22"/>
          <w:szCs w:val="22"/>
        </w:rPr>
        <w:t>n</w:t>
      </w:r>
      <w:r w:rsidR="00EF7353">
        <w:rPr>
          <w:color w:val="000000"/>
          <w:sz w:val="22"/>
          <w:szCs w:val="22"/>
        </w:rPr>
        <w:t xml:space="preserve"> = 3</w:t>
      </w:r>
      <w:r w:rsidR="00EF7353" w:rsidRPr="00EF7353">
        <w:rPr>
          <w:color w:val="000000"/>
          <w:sz w:val="22"/>
          <w:szCs w:val="22"/>
        </w:rPr>
        <w:t xml:space="preserve"> </w:t>
      </w:r>
      <w:r w:rsidR="00EF7353">
        <w:rPr>
          <w:color w:val="000000"/>
          <w:sz w:val="22"/>
          <w:szCs w:val="22"/>
        </w:rPr>
        <w:t xml:space="preserve">per treatment), and for combined (pooled light treatments, </w:t>
      </w:r>
      <w:r w:rsidR="00EF7353">
        <w:rPr>
          <w:i/>
          <w:color w:val="000000"/>
          <w:sz w:val="22"/>
          <w:szCs w:val="22"/>
        </w:rPr>
        <w:t xml:space="preserve">n </w:t>
      </w:r>
      <w:r w:rsidR="00EF7353">
        <w:rPr>
          <w:color w:val="000000"/>
          <w:sz w:val="22"/>
          <w:szCs w:val="22"/>
        </w:rPr>
        <w:t xml:space="preserve">= 6 per treatment).  We only performed univariate comparisons if the compound was detected in at least 2 treatments.  Average peak size, Log2(Limited/Replete Cobalamin), and color correspond to Figure 3. </w:t>
      </w:r>
      <w:r w:rsidR="00C17AB9">
        <w:rPr>
          <w:color w:val="000000"/>
          <w:sz w:val="22"/>
          <w:szCs w:val="22"/>
        </w:rPr>
        <w:t>Compounds marked as “Light Blue”</w:t>
      </w:r>
      <w:r w:rsidR="00EF7353" w:rsidRPr="00EF7353">
        <w:rPr>
          <w:color w:val="000000"/>
          <w:sz w:val="22"/>
          <w:szCs w:val="22"/>
          <w:shd w:val="clear" w:color="auto" w:fill="FFFFFF"/>
        </w:rPr>
        <w:t xml:space="preserve"> are significantly different between cobalamin treatments in either saturating or low light conditions</w:t>
      </w:r>
      <w:r w:rsidR="00C17AB9">
        <w:rPr>
          <w:color w:val="000000"/>
          <w:sz w:val="22"/>
          <w:szCs w:val="22"/>
          <w:shd w:val="clear" w:color="auto" w:fill="FFFFFF"/>
        </w:rPr>
        <w:t xml:space="preserve">, </w:t>
      </w:r>
      <w:r w:rsidR="00EF7353" w:rsidRPr="00EF7353">
        <w:rPr>
          <w:color w:val="000000"/>
          <w:sz w:val="22"/>
          <w:szCs w:val="22"/>
          <w:shd w:val="clear" w:color="auto" w:fill="FFFFFF"/>
        </w:rPr>
        <w:t xml:space="preserve">compounds </w:t>
      </w:r>
      <w:r w:rsidR="00C17AB9">
        <w:rPr>
          <w:color w:val="000000"/>
          <w:sz w:val="22"/>
          <w:szCs w:val="22"/>
          <w:shd w:val="clear" w:color="auto" w:fill="FFFFFF"/>
        </w:rPr>
        <w:t xml:space="preserve">marked at “Dark Blue” </w:t>
      </w:r>
      <w:r w:rsidR="00EF7353" w:rsidRPr="00EF7353">
        <w:rPr>
          <w:color w:val="000000"/>
          <w:sz w:val="22"/>
          <w:szCs w:val="22"/>
          <w:shd w:val="clear" w:color="auto" w:fill="FFFFFF"/>
        </w:rPr>
        <w:t xml:space="preserve">are significantly different under both light conditions </w:t>
      </w:r>
      <w:r w:rsidR="00EF7353">
        <w:rPr>
          <w:color w:val="000000"/>
          <w:sz w:val="22"/>
          <w:szCs w:val="22"/>
          <w:shd w:val="clear" w:color="auto" w:fill="FFFFFF"/>
        </w:rPr>
        <w:t xml:space="preserve">or </w:t>
      </w:r>
      <w:r w:rsidR="00FD3922">
        <w:rPr>
          <w:color w:val="000000"/>
          <w:sz w:val="22"/>
          <w:szCs w:val="22"/>
          <w:shd w:val="clear" w:color="auto" w:fill="FFFFFF"/>
        </w:rPr>
        <w:t>when light treatments are pooled</w:t>
      </w:r>
      <w:r w:rsidR="00C17AB9">
        <w:rPr>
          <w:color w:val="000000"/>
          <w:sz w:val="22"/>
          <w:szCs w:val="22"/>
          <w:shd w:val="clear" w:color="auto" w:fill="FFFFFF"/>
        </w:rPr>
        <w:t xml:space="preserve"> (</w:t>
      </w:r>
      <w:r w:rsidR="00C17AB9">
        <w:rPr>
          <w:i/>
          <w:color w:val="000000"/>
          <w:sz w:val="22"/>
          <w:szCs w:val="22"/>
          <w:shd w:val="clear" w:color="auto" w:fill="FFFFFF"/>
        </w:rPr>
        <w:t xml:space="preserve">p </w:t>
      </w:r>
      <w:r w:rsidR="00C17AB9" w:rsidRPr="00C17AB9">
        <w:rPr>
          <w:color w:val="000000"/>
          <w:sz w:val="22"/>
          <w:szCs w:val="22"/>
          <w:shd w:val="clear" w:color="auto" w:fill="FFFFFF"/>
        </w:rPr>
        <w:t>&lt; 0.05</w:t>
      </w:r>
      <w:r w:rsidR="00C17AB9">
        <w:rPr>
          <w:color w:val="000000"/>
          <w:sz w:val="22"/>
          <w:szCs w:val="22"/>
          <w:shd w:val="clear" w:color="auto" w:fill="FFFFFF"/>
        </w:rPr>
        <w:t xml:space="preserve"> for all</w:t>
      </w:r>
      <w:r w:rsidR="00C17AB9" w:rsidRPr="00C17AB9">
        <w:rPr>
          <w:color w:val="000000"/>
          <w:sz w:val="22"/>
          <w:szCs w:val="22"/>
          <w:shd w:val="clear" w:color="auto" w:fill="FFFFFF"/>
        </w:rPr>
        <w:t>)</w:t>
      </w:r>
      <w:r w:rsidR="00C17AB9">
        <w:rPr>
          <w:color w:val="000000"/>
          <w:sz w:val="22"/>
          <w:szCs w:val="22"/>
          <w:shd w:val="clear" w:color="auto" w:fill="FFFFFF"/>
        </w:rPr>
        <w:t>.</w:t>
      </w:r>
    </w:p>
    <w:p w14:paraId="3819CA80" w14:textId="77777777" w:rsidR="00C615B1" w:rsidRPr="00C615B1" w:rsidRDefault="00C615B1" w:rsidP="00C615B1">
      <w:pPr>
        <w:tabs>
          <w:tab w:val="left" w:pos="3753"/>
        </w:tabs>
        <w:rPr>
          <w:sz w:val="22"/>
          <w:szCs w:val="22"/>
        </w:rPr>
      </w:pPr>
      <w:r w:rsidRPr="00C615B1">
        <w:rPr>
          <w:sz w:val="22"/>
          <w:szCs w:val="22"/>
        </w:rPr>
        <w:tab/>
      </w:r>
    </w:p>
    <w:p w14:paraId="38C93E66" w14:textId="583DFDE4" w:rsidR="00C615B1" w:rsidRPr="00C615B1" w:rsidRDefault="00C615B1" w:rsidP="00C615B1">
      <w:pPr>
        <w:rPr>
          <w:b/>
          <w:sz w:val="22"/>
          <w:szCs w:val="22"/>
        </w:rPr>
      </w:pPr>
      <w:r w:rsidRPr="00C615B1">
        <w:rPr>
          <w:b/>
          <w:sz w:val="22"/>
          <w:szCs w:val="22"/>
        </w:rPr>
        <w:t xml:space="preserve">Supplemental Table </w:t>
      </w:r>
      <w:r w:rsidR="008D1CDE">
        <w:rPr>
          <w:b/>
          <w:sz w:val="22"/>
          <w:szCs w:val="22"/>
        </w:rPr>
        <w:t>2</w:t>
      </w:r>
    </w:p>
    <w:p w14:paraId="1B6B92A4" w14:textId="317DA5FB" w:rsidR="00C615B1" w:rsidRPr="00C615B1" w:rsidRDefault="00C615B1" w:rsidP="00C615B1">
      <w:r w:rsidRPr="00C615B1">
        <w:rPr>
          <w:color w:val="000000"/>
          <w:sz w:val="22"/>
          <w:szCs w:val="22"/>
        </w:rPr>
        <w:t xml:space="preserve">Compounds that significantly contributed </w:t>
      </w:r>
      <w:r>
        <w:rPr>
          <w:color w:val="000000"/>
          <w:sz w:val="22"/>
          <w:szCs w:val="22"/>
        </w:rPr>
        <w:t>(</w:t>
      </w:r>
      <w:r>
        <w:rPr>
          <w:i/>
          <w:color w:val="000000"/>
          <w:sz w:val="22"/>
          <w:szCs w:val="22"/>
        </w:rPr>
        <w:t xml:space="preserve">p </w:t>
      </w:r>
      <w:r>
        <w:rPr>
          <w:color w:val="000000"/>
          <w:sz w:val="22"/>
          <w:szCs w:val="22"/>
        </w:rPr>
        <w:t>&lt;</w:t>
      </w:r>
      <w:r w:rsidRPr="00C615B1">
        <w:rPr>
          <w:color w:val="000000"/>
          <w:sz w:val="22"/>
          <w:szCs w:val="22"/>
        </w:rPr>
        <w:t xml:space="preserve"> 0.05) to the NMDS analysi</w:t>
      </w:r>
      <w:r w:rsidR="008D1CDE">
        <w:rPr>
          <w:color w:val="000000"/>
          <w:sz w:val="22"/>
          <w:szCs w:val="22"/>
        </w:rPr>
        <w:t>s</w:t>
      </w:r>
      <w:r w:rsidRPr="00C615B1">
        <w:rPr>
          <w:color w:val="000000"/>
          <w:sz w:val="22"/>
          <w:szCs w:val="22"/>
        </w:rPr>
        <w:t>.</w:t>
      </w:r>
    </w:p>
    <w:p w14:paraId="08E57147" w14:textId="77777777" w:rsidR="00C615B1" w:rsidRPr="00C615B1" w:rsidRDefault="00C615B1" w:rsidP="00C615B1">
      <w:pPr>
        <w:rPr>
          <w:b/>
          <w:sz w:val="22"/>
          <w:szCs w:val="22"/>
        </w:rPr>
      </w:pPr>
    </w:p>
    <w:p w14:paraId="65376025" w14:textId="11101941" w:rsidR="00C615B1" w:rsidRDefault="00C615B1" w:rsidP="00C615B1">
      <w:pPr>
        <w:rPr>
          <w:b/>
          <w:sz w:val="22"/>
          <w:szCs w:val="22"/>
        </w:rPr>
      </w:pPr>
      <w:r w:rsidRPr="00C615B1">
        <w:rPr>
          <w:b/>
          <w:sz w:val="22"/>
          <w:szCs w:val="22"/>
        </w:rPr>
        <w:t xml:space="preserve">Supplemental Table </w:t>
      </w:r>
      <w:r w:rsidR="00867BE8">
        <w:rPr>
          <w:b/>
          <w:sz w:val="22"/>
          <w:szCs w:val="22"/>
        </w:rPr>
        <w:t>3</w:t>
      </w:r>
    </w:p>
    <w:p w14:paraId="187063DB" w14:textId="0CA3D679" w:rsidR="00600B7F" w:rsidRDefault="00600B7F" w:rsidP="00600B7F">
      <w:r>
        <w:rPr>
          <w:color w:val="000000"/>
          <w:sz w:val="22"/>
          <w:szCs w:val="22"/>
          <w:shd w:val="clear" w:color="auto" w:fill="FFFFFF"/>
        </w:rPr>
        <w:t>Full results from untargeted metabolomics analysis</w:t>
      </w:r>
      <w:r>
        <w:rPr>
          <w:color w:val="000000"/>
          <w:sz w:val="22"/>
          <w:szCs w:val="22"/>
        </w:rPr>
        <w:t>.  Treatments and values are the same as in Supplemental Table 1.  MF = mass feature</w:t>
      </w:r>
      <w:r w:rsidR="008D1CDE">
        <w:rPr>
          <w:color w:val="000000"/>
          <w:sz w:val="22"/>
          <w:szCs w:val="22"/>
        </w:rPr>
        <w:t>,</w:t>
      </w:r>
      <w:r>
        <w:rPr>
          <w:color w:val="000000"/>
          <w:sz w:val="22"/>
          <w:szCs w:val="22"/>
        </w:rPr>
        <w:t xml:space="preserve"> fraction </w:t>
      </w:r>
      <w:r w:rsidR="008D1CDE">
        <w:rPr>
          <w:color w:val="000000"/>
          <w:sz w:val="22"/>
          <w:szCs w:val="22"/>
        </w:rPr>
        <w:t>is chromatographic conditions that gave observed mass feature</w:t>
      </w:r>
      <w:r>
        <w:rPr>
          <w:color w:val="000000"/>
          <w:sz w:val="22"/>
          <w:szCs w:val="22"/>
        </w:rPr>
        <w:t xml:space="preserve">, </w:t>
      </w:r>
      <w:proofErr w:type="spellStart"/>
      <w:r>
        <w:rPr>
          <w:color w:val="000000"/>
          <w:sz w:val="22"/>
          <w:szCs w:val="22"/>
        </w:rPr>
        <w:t>mz</w:t>
      </w:r>
      <w:proofErr w:type="spellEnd"/>
      <w:r>
        <w:rPr>
          <w:color w:val="000000"/>
          <w:sz w:val="22"/>
          <w:szCs w:val="22"/>
        </w:rPr>
        <w:t xml:space="preserve"> = </w:t>
      </w:r>
      <w:r>
        <w:rPr>
          <w:i/>
          <w:color w:val="000000"/>
          <w:sz w:val="22"/>
          <w:szCs w:val="22"/>
        </w:rPr>
        <w:t>m/z</w:t>
      </w:r>
      <w:r>
        <w:rPr>
          <w:color w:val="000000"/>
          <w:sz w:val="22"/>
          <w:szCs w:val="22"/>
        </w:rPr>
        <w:t xml:space="preserve">, </w:t>
      </w:r>
      <w:proofErr w:type="spellStart"/>
      <w:r>
        <w:rPr>
          <w:color w:val="000000"/>
          <w:sz w:val="22"/>
          <w:szCs w:val="22"/>
        </w:rPr>
        <w:t>rt</w:t>
      </w:r>
      <w:proofErr w:type="spellEnd"/>
      <w:r>
        <w:rPr>
          <w:color w:val="000000"/>
          <w:sz w:val="22"/>
          <w:szCs w:val="22"/>
        </w:rPr>
        <w:t xml:space="preserve"> = retention time (in seconds</w:t>
      </w:r>
      <w:r w:rsidR="008D1CDE">
        <w:rPr>
          <w:color w:val="000000"/>
          <w:sz w:val="22"/>
          <w:szCs w:val="22"/>
        </w:rPr>
        <w:t>)</w:t>
      </w:r>
      <w:r>
        <w:rPr>
          <w:color w:val="000000"/>
          <w:sz w:val="22"/>
          <w:szCs w:val="22"/>
        </w:rPr>
        <w:t>.</w:t>
      </w:r>
    </w:p>
    <w:p w14:paraId="2AB37811" w14:textId="77777777" w:rsidR="00600B7F" w:rsidRPr="00C615B1" w:rsidRDefault="00600B7F" w:rsidP="00C615B1">
      <w:pPr>
        <w:rPr>
          <w:b/>
          <w:sz w:val="22"/>
          <w:szCs w:val="22"/>
        </w:rPr>
      </w:pPr>
    </w:p>
    <w:p w14:paraId="32179A7D" w14:textId="3937EDF2" w:rsidR="00600B7F" w:rsidRPr="00C615B1" w:rsidRDefault="00600B7F" w:rsidP="00600B7F">
      <w:pPr>
        <w:rPr>
          <w:b/>
          <w:sz w:val="22"/>
          <w:szCs w:val="22"/>
        </w:rPr>
      </w:pPr>
      <w:r w:rsidRPr="00C615B1">
        <w:rPr>
          <w:b/>
          <w:sz w:val="22"/>
          <w:szCs w:val="22"/>
        </w:rPr>
        <w:t xml:space="preserve">Supplemental Table </w:t>
      </w:r>
      <w:r w:rsidR="00867BE8">
        <w:rPr>
          <w:b/>
          <w:sz w:val="22"/>
          <w:szCs w:val="22"/>
        </w:rPr>
        <w:t>4</w:t>
      </w:r>
    </w:p>
    <w:p w14:paraId="4E8E8B4B" w14:textId="51CD7FB5" w:rsidR="00600B7F" w:rsidRDefault="00600B7F" w:rsidP="00600B7F">
      <w:r>
        <w:rPr>
          <w:color w:val="000000"/>
          <w:sz w:val="22"/>
          <w:szCs w:val="22"/>
          <w:shd w:val="clear" w:color="auto" w:fill="FFFFFF"/>
        </w:rPr>
        <w:t xml:space="preserve">Complete results from gene search in </w:t>
      </w:r>
      <w:r w:rsidRPr="00C615B1">
        <w:rPr>
          <w:i/>
          <w:color w:val="000000"/>
          <w:sz w:val="22"/>
          <w:szCs w:val="22"/>
        </w:rPr>
        <w:t xml:space="preserve">T. </w:t>
      </w:r>
      <w:proofErr w:type="spellStart"/>
      <w:r w:rsidRPr="00C615B1">
        <w:rPr>
          <w:i/>
          <w:color w:val="000000"/>
          <w:sz w:val="22"/>
          <w:szCs w:val="22"/>
        </w:rPr>
        <w:t>pseudonana</w:t>
      </w:r>
      <w:proofErr w:type="spellEnd"/>
      <w:r>
        <w:rPr>
          <w:color w:val="000000"/>
          <w:sz w:val="22"/>
          <w:szCs w:val="22"/>
          <w:shd w:val="clear" w:color="auto" w:fill="FFFFFF"/>
        </w:rPr>
        <w:t xml:space="preserve"> and other publicly available diatom genomes for processes discussed in the text.</w:t>
      </w:r>
      <w:r w:rsidR="00A87D7C" w:rsidRPr="00A87D7C">
        <w:rPr>
          <w:color w:val="000000"/>
          <w:sz w:val="22"/>
          <w:szCs w:val="22"/>
        </w:rPr>
        <w:t xml:space="preserve"> </w:t>
      </w:r>
      <w:r w:rsidR="00A87D7C" w:rsidRPr="0076520C">
        <w:rPr>
          <w:color w:val="000000"/>
          <w:sz w:val="22"/>
          <w:szCs w:val="22"/>
        </w:rPr>
        <w:t>Maximum-likelihood tree</w:t>
      </w:r>
      <w:r w:rsidR="00A87D7C">
        <w:rPr>
          <w:color w:val="000000"/>
          <w:sz w:val="22"/>
          <w:szCs w:val="22"/>
        </w:rPr>
        <w:t>s for these genes are found in Supplemental Figures 1-3.</w:t>
      </w:r>
    </w:p>
    <w:p w14:paraId="4D82ACF0" w14:textId="77777777" w:rsidR="00C615B1" w:rsidRDefault="00C615B1">
      <w:pPr>
        <w:rPr>
          <w:sz w:val="22"/>
          <w:szCs w:val="22"/>
        </w:rPr>
      </w:pPr>
    </w:p>
    <w:p w14:paraId="29315439" w14:textId="504B3A9F" w:rsidR="00600B7F" w:rsidRPr="00C615B1" w:rsidRDefault="00600B7F" w:rsidP="00600B7F">
      <w:pPr>
        <w:rPr>
          <w:b/>
          <w:sz w:val="22"/>
          <w:szCs w:val="22"/>
        </w:rPr>
      </w:pPr>
      <w:r w:rsidRPr="00C615B1">
        <w:rPr>
          <w:b/>
          <w:sz w:val="22"/>
          <w:szCs w:val="22"/>
        </w:rPr>
        <w:t xml:space="preserve">Supplemental Table </w:t>
      </w:r>
      <w:r w:rsidR="00867BE8">
        <w:rPr>
          <w:b/>
          <w:sz w:val="22"/>
          <w:szCs w:val="22"/>
        </w:rPr>
        <w:t>5</w:t>
      </w:r>
    </w:p>
    <w:p w14:paraId="6478CACC" w14:textId="77777777" w:rsidR="00600B7F" w:rsidRDefault="00600B7F" w:rsidP="00600B7F">
      <w:r>
        <w:rPr>
          <w:color w:val="000000"/>
          <w:sz w:val="22"/>
          <w:szCs w:val="22"/>
          <w:shd w:val="clear" w:color="auto" w:fill="FFFFFF"/>
        </w:rPr>
        <w:t xml:space="preserve">Isotope-labeled standards used for extraction standards and injection standards. The fraction, column, and ion mode (z) used for analysis for each standard are displayed as well as the injection concentration and extracted </w:t>
      </w:r>
      <w:r>
        <w:rPr>
          <w:i/>
          <w:color w:val="000000"/>
          <w:sz w:val="22"/>
          <w:szCs w:val="22"/>
          <w:shd w:val="clear" w:color="auto" w:fill="FFFFFF"/>
        </w:rPr>
        <w:t xml:space="preserve">m/z. </w:t>
      </w:r>
      <w:r>
        <w:rPr>
          <w:color w:val="000000"/>
          <w:sz w:val="22"/>
          <w:szCs w:val="22"/>
          <w:shd w:val="clear" w:color="auto" w:fill="FFFFFF"/>
        </w:rPr>
        <w:t>Extraction standards were spiked during extraction, injection standards were spiked just before analysis by LC-MS</w:t>
      </w:r>
    </w:p>
    <w:p w14:paraId="0908E7E1" w14:textId="77777777" w:rsidR="00600B7F" w:rsidRDefault="00600B7F">
      <w:pPr>
        <w:rPr>
          <w:sz w:val="22"/>
          <w:szCs w:val="22"/>
        </w:rPr>
      </w:pPr>
    </w:p>
    <w:p w14:paraId="35B44834" w14:textId="4426E732" w:rsidR="00600B7F" w:rsidRDefault="00600B7F" w:rsidP="00600B7F">
      <w:pPr>
        <w:rPr>
          <w:b/>
          <w:sz w:val="22"/>
          <w:szCs w:val="22"/>
        </w:rPr>
      </w:pPr>
      <w:r w:rsidRPr="00C615B1">
        <w:rPr>
          <w:b/>
          <w:sz w:val="22"/>
          <w:szCs w:val="22"/>
        </w:rPr>
        <w:t xml:space="preserve">Supplemental Table </w:t>
      </w:r>
      <w:r w:rsidR="00867BE8">
        <w:rPr>
          <w:b/>
          <w:sz w:val="22"/>
          <w:szCs w:val="22"/>
        </w:rPr>
        <w:t>6</w:t>
      </w:r>
      <w:bookmarkStart w:id="0" w:name="_GoBack"/>
      <w:bookmarkEnd w:id="0"/>
    </w:p>
    <w:p w14:paraId="6042C5D6" w14:textId="77777777" w:rsidR="00600B7F" w:rsidRDefault="00600B7F" w:rsidP="00600B7F">
      <w:r>
        <w:rPr>
          <w:color w:val="000000"/>
          <w:sz w:val="22"/>
          <w:szCs w:val="22"/>
          <w:shd w:val="clear" w:color="auto" w:fill="FFFFFF"/>
        </w:rPr>
        <w:t xml:space="preserve">Experimental parameters and basic results of untargeted analysis.  Retention time (RT) range and resolution for the different chromatography and ion mode configurations.  Parameters used for XCMS.  Results include the peak picking score (PPS) from IPO, initial number of mass features (MFs), number of MFs after filtering out peaks with CV &gt; 30% after B-MIS normalization and likely </w:t>
      </w:r>
      <w:proofErr w:type="spellStart"/>
      <w:r>
        <w:rPr>
          <w:color w:val="000000"/>
          <w:sz w:val="22"/>
          <w:szCs w:val="22"/>
          <w:shd w:val="clear" w:color="auto" w:fill="FFFFFF"/>
        </w:rPr>
        <w:t>isotopologues</w:t>
      </w:r>
      <w:proofErr w:type="spellEnd"/>
      <w:r>
        <w:rPr>
          <w:color w:val="000000"/>
          <w:sz w:val="22"/>
          <w:szCs w:val="22"/>
          <w:shd w:val="clear" w:color="auto" w:fill="FFFFFF"/>
        </w:rPr>
        <w:t xml:space="preserve"> as </w:t>
      </w:r>
      <w:proofErr w:type="spellStart"/>
      <w:r>
        <w:rPr>
          <w:color w:val="000000"/>
          <w:sz w:val="22"/>
          <w:szCs w:val="22"/>
          <w:shd w:val="clear" w:color="auto" w:fill="FFFFFF"/>
        </w:rPr>
        <w:t xml:space="preserve">described in </w:t>
      </w:r>
      <w:proofErr w:type="spellEnd"/>
      <w:r>
        <w:rPr>
          <w:color w:val="000000"/>
          <w:sz w:val="22"/>
          <w:szCs w:val="22"/>
          <w:shd w:val="clear" w:color="auto" w:fill="FFFFFF"/>
        </w:rPr>
        <w:t>text (Quality MFs).</w:t>
      </w:r>
    </w:p>
    <w:p w14:paraId="7CAC7F80" w14:textId="026F4C59" w:rsidR="002C65E3" w:rsidRDefault="002C65E3">
      <w:pPr>
        <w:rPr>
          <w:b/>
          <w:sz w:val="22"/>
          <w:szCs w:val="22"/>
        </w:rPr>
      </w:pPr>
      <w:r>
        <w:rPr>
          <w:b/>
          <w:sz w:val="22"/>
          <w:szCs w:val="22"/>
        </w:rPr>
        <w:br w:type="page"/>
      </w:r>
    </w:p>
    <w:p w14:paraId="6D1714D3" w14:textId="77777777" w:rsidR="00396460" w:rsidRPr="0076520C" w:rsidRDefault="00396460" w:rsidP="00396460">
      <w:r w:rsidRPr="0076520C">
        <w:rPr>
          <w:b/>
          <w:bCs/>
          <w:color w:val="000000"/>
          <w:sz w:val="22"/>
          <w:szCs w:val="22"/>
        </w:rPr>
        <w:lastRenderedPageBreak/>
        <w:t xml:space="preserve">Supplementary Figure </w:t>
      </w:r>
      <w:r>
        <w:rPr>
          <w:b/>
          <w:bCs/>
          <w:color w:val="000000"/>
          <w:sz w:val="22"/>
          <w:szCs w:val="22"/>
        </w:rPr>
        <w:t>1</w:t>
      </w:r>
    </w:p>
    <w:p w14:paraId="2986D66B" w14:textId="6D8C2946" w:rsidR="00396460" w:rsidRDefault="00396460" w:rsidP="00A175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6520C">
        <w:rPr>
          <w:color w:val="000000"/>
          <w:sz w:val="22"/>
          <w:szCs w:val="22"/>
        </w:rPr>
        <w:t>Maximum-likelihood tree of adenosylmethionine decarboxylase</w:t>
      </w:r>
      <w:r>
        <w:rPr>
          <w:color w:val="000000"/>
          <w:sz w:val="22"/>
          <w:szCs w:val="22"/>
        </w:rPr>
        <w:t xml:space="preserve"> (</w:t>
      </w:r>
      <w:proofErr w:type="spellStart"/>
      <w:r>
        <w:rPr>
          <w:color w:val="000000"/>
          <w:sz w:val="22"/>
          <w:szCs w:val="22"/>
        </w:rPr>
        <w:t>AdoMetDC</w:t>
      </w:r>
      <w:proofErr w:type="spellEnd"/>
      <w:r>
        <w:rPr>
          <w:color w:val="000000"/>
          <w:sz w:val="22"/>
          <w:szCs w:val="22"/>
        </w:rPr>
        <w:t>)</w:t>
      </w:r>
      <w:r w:rsidRPr="0076520C">
        <w:rPr>
          <w:color w:val="000000"/>
          <w:sz w:val="22"/>
          <w:szCs w:val="22"/>
        </w:rPr>
        <w:t xml:space="preserve">. Numbers beside branches represent support values from 1,000 bootstrap trees. The query sequence used to construct this tree was taken from </w:t>
      </w:r>
      <w:r w:rsidRPr="0076520C">
        <w:rPr>
          <w:i/>
          <w:iCs/>
          <w:color w:val="000000"/>
          <w:sz w:val="22"/>
          <w:szCs w:val="22"/>
        </w:rPr>
        <w:t>A. thaliana</w:t>
      </w:r>
      <w:r w:rsidRPr="0076520C">
        <w:rPr>
          <w:color w:val="000000"/>
          <w:sz w:val="22"/>
          <w:szCs w:val="22"/>
        </w:rPr>
        <w:t xml:space="preserve">. Branches colored by taxonomy: </w:t>
      </w:r>
      <w:r w:rsidRPr="005529F8">
        <w:rPr>
          <w:color w:val="000000"/>
          <w:sz w:val="22"/>
          <w:szCs w:val="22"/>
        </w:rPr>
        <w:t xml:space="preserve">diatoms, orange; </w:t>
      </w:r>
      <w:r w:rsidRPr="0076520C">
        <w:rPr>
          <w:color w:val="000000"/>
          <w:sz w:val="22"/>
          <w:szCs w:val="22"/>
        </w:rPr>
        <w:t xml:space="preserve">rhodophytes, red; </w:t>
      </w:r>
      <w:proofErr w:type="spellStart"/>
      <w:r w:rsidRPr="0076520C">
        <w:rPr>
          <w:color w:val="000000"/>
          <w:sz w:val="22"/>
          <w:szCs w:val="22"/>
        </w:rPr>
        <w:t>viridiplantae</w:t>
      </w:r>
      <w:proofErr w:type="spellEnd"/>
      <w:r w:rsidRPr="0076520C">
        <w:rPr>
          <w:color w:val="000000"/>
          <w:sz w:val="22"/>
          <w:szCs w:val="22"/>
        </w:rPr>
        <w:t xml:space="preserve">, green; haptophytes, dark purple; </w:t>
      </w:r>
      <w:proofErr w:type="spellStart"/>
      <w:r w:rsidRPr="0076520C">
        <w:rPr>
          <w:color w:val="000000"/>
          <w:sz w:val="22"/>
          <w:szCs w:val="22"/>
        </w:rPr>
        <w:t>cryptophytes</w:t>
      </w:r>
      <w:proofErr w:type="spellEnd"/>
      <w:r w:rsidRPr="0076520C">
        <w:rPr>
          <w:color w:val="000000"/>
          <w:sz w:val="22"/>
          <w:szCs w:val="22"/>
        </w:rPr>
        <w:t xml:space="preserve">, light purple; non-diatom </w:t>
      </w:r>
      <w:proofErr w:type="spellStart"/>
      <w:r w:rsidRPr="0076520C">
        <w:rPr>
          <w:color w:val="000000"/>
          <w:sz w:val="22"/>
          <w:szCs w:val="22"/>
        </w:rPr>
        <w:t>stramenopiles</w:t>
      </w:r>
      <w:proofErr w:type="spellEnd"/>
      <w:r w:rsidRPr="0076520C">
        <w:rPr>
          <w:color w:val="000000"/>
          <w:sz w:val="22"/>
          <w:szCs w:val="22"/>
        </w:rPr>
        <w:t xml:space="preserve">, magenta; </w:t>
      </w:r>
      <w:r>
        <w:rPr>
          <w:color w:val="000000"/>
          <w:sz w:val="22"/>
          <w:szCs w:val="22"/>
        </w:rPr>
        <w:t xml:space="preserve">non-diatom </w:t>
      </w:r>
      <w:r w:rsidRPr="0076520C">
        <w:rPr>
          <w:color w:val="000000"/>
          <w:sz w:val="22"/>
          <w:szCs w:val="22"/>
        </w:rPr>
        <w:t xml:space="preserve">alveolates, blue; </w:t>
      </w:r>
      <w:proofErr w:type="spellStart"/>
      <w:r w:rsidRPr="0076520C">
        <w:rPr>
          <w:color w:val="000000"/>
          <w:sz w:val="22"/>
          <w:szCs w:val="22"/>
        </w:rPr>
        <w:t>opisthokonts</w:t>
      </w:r>
      <w:proofErr w:type="spellEnd"/>
      <w:r w:rsidRPr="0076520C">
        <w:rPr>
          <w:color w:val="000000"/>
          <w:sz w:val="22"/>
          <w:szCs w:val="22"/>
        </w:rPr>
        <w:t xml:space="preserve"> and </w:t>
      </w:r>
      <w:proofErr w:type="spellStart"/>
      <w:r w:rsidRPr="0076520C">
        <w:rPr>
          <w:color w:val="000000"/>
          <w:sz w:val="22"/>
          <w:szCs w:val="22"/>
        </w:rPr>
        <w:t>amoebozoa</w:t>
      </w:r>
      <w:proofErr w:type="spellEnd"/>
      <w:r w:rsidRPr="0076520C">
        <w:rPr>
          <w:color w:val="000000"/>
          <w:sz w:val="22"/>
          <w:szCs w:val="22"/>
        </w:rPr>
        <w:t>, maroon; excavates, pa</w:t>
      </w:r>
      <w:r>
        <w:rPr>
          <w:color w:val="000000"/>
          <w:sz w:val="22"/>
          <w:szCs w:val="22"/>
        </w:rPr>
        <w:t xml:space="preserve">le blue; </w:t>
      </w:r>
      <w:proofErr w:type="spellStart"/>
      <w:r>
        <w:rPr>
          <w:color w:val="000000"/>
          <w:sz w:val="22"/>
          <w:szCs w:val="22"/>
        </w:rPr>
        <w:t>rhizaria</w:t>
      </w:r>
      <w:proofErr w:type="spellEnd"/>
      <w:r>
        <w:rPr>
          <w:color w:val="000000"/>
          <w:sz w:val="22"/>
          <w:szCs w:val="22"/>
        </w:rPr>
        <w:t xml:space="preserve">, dark purple; </w:t>
      </w:r>
      <w:proofErr w:type="spellStart"/>
      <w:r w:rsidRPr="0076520C">
        <w:rPr>
          <w:color w:val="000000"/>
          <w:sz w:val="22"/>
          <w:szCs w:val="22"/>
        </w:rPr>
        <w:t>dinophyceae</w:t>
      </w:r>
      <w:proofErr w:type="spellEnd"/>
      <w:r w:rsidRPr="0076520C">
        <w:rPr>
          <w:color w:val="000000"/>
          <w:sz w:val="22"/>
          <w:szCs w:val="22"/>
        </w:rPr>
        <w:t xml:space="preserve">, dark blue; </w:t>
      </w:r>
      <w:proofErr w:type="spellStart"/>
      <w:r w:rsidRPr="0076520C">
        <w:rPr>
          <w:color w:val="000000"/>
          <w:sz w:val="22"/>
          <w:szCs w:val="22"/>
        </w:rPr>
        <w:t>glaucophyta</w:t>
      </w:r>
      <w:proofErr w:type="spellEnd"/>
      <w:r w:rsidRPr="0076520C">
        <w:rPr>
          <w:color w:val="000000"/>
          <w:sz w:val="22"/>
          <w:szCs w:val="22"/>
        </w:rPr>
        <w:t>, teal; bacteria</w:t>
      </w:r>
      <w:r>
        <w:rPr>
          <w:color w:val="000000"/>
          <w:sz w:val="22"/>
          <w:szCs w:val="22"/>
        </w:rPr>
        <w:t xml:space="preserve"> and archaea,</w:t>
      </w:r>
      <w:r w:rsidRPr="0076520C">
        <w:rPr>
          <w:color w:val="000000"/>
          <w:sz w:val="22"/>
          <w:szCs w:val="22"/>
        </w:rPr>
        <w:t xml:space="preserve"> yellow; virus</w:t>
      </w:r>
      <w:r>
        <w:rPr>
          <w:color w:val="000000"/>
          <w:sz w:val="22"/>
          <w:szCs w:val="22"/>
        </w:rPr>
        <w:t>,</w:t>
      </w:r>
      <w:r w:rsidRPr="0076520C">
        <w:rPr>
          <w:color w:val="000000"/>
          <w:sz w:val="22"/>
          <w:szCs w:val="22"/>
        </w:rPr>
        <w:t xml:space="preserve"> gray.  The </w:t>
      </w:r>
      <w:r w:rsidR="0098672F">
        <w:rPr>
          <w:color w:val="000000"/>
          <w:sz w:val="22"/>
          <w:szCs w:val="22"/>
        </w:rPr>
        <w:t>tree was rooted with</w:t>
      </w:r>
      <w:r w:rsidRPr="0076520C">
        <w:rPr>
          <w:color w:val="000000"/>
          <w:sz w:val="22"/>
          <w:szCs w:val="22"/>
        </w:rPr>
        <w:t xml:space="preserve"> a bacterial adenosylmethionine decarboxylase</w:t>
      </w:r>
      <w:r w:rsidR="008523EB">
        <w:rPr>
          <w:color w:val="000000"/>
          <w:sz w:val="22"/>
          <w:szCs w:val="22"/>
        </w:rPr>
        <w:t xml:space="preserve"> and based on 436 amino acids</w:t>
      </w:r>
      <w:r w:rsidR="00A175A6">
        <w:rPr>
          <w:color w:val="000000"/>
          <w:sz w:val="22"/>
          <w:szCs w:val="22"/>
        </w:rPr>
        <w:t xml:space="preserve">; scale bar represents the proportion of amino acid substitutions per site along each branch. </w:t>
      </w:r>
    </w:p>
    <w:p w14:paraId="34DC92C6" w14:textId="77777777" w:rsidR="00396460" w:rsidRDefault="00396460" w:rsidP="00396460">
      <w:pPr>
        <w:rPr>
          <w:color w:val="000000"/>
          <w:sz w:val="22"/>
          <w:szCs w:val="22"/>
        </w:rPr>
      </w:pPr>
    </w:p>
    <w:p w14:paraId="0CF78FD9" w14:textId="77777777" w:rsidR="00396460" w:rsidRPr="005529F8" w:rsidRDefault="00396460" w:rsidP="00396460">
      <w:r w:rsidRPr="005529F8">
        <w:rPr>
          <w:b/>
          <w:bCs/>
          <w:color w:val="000000"/>
          <w:sz w:val="22"/>
          <w:szCs w:val="22"/>
        </w:rPr>
        <w:t>Supplementary Figure 2</w:t>
      </w:r>
    </w:p>
    <w:p w14:paraId="10562A1D" w14:textId="001A3A3B" w:rsidR="00396460" w:rsidRDefault="00396460" w:rsidP="00396460">
      <w:pPr>
        <w:rPr>
          <w:color w:val="000000"/>
          <w:sz w:val="22"/>
          <w:szCs w:val="22"/>
        </w:rPr>
      </w:pPr>
      <w:r w:rsidRPr="005529F8">
        <w:rPr>
          <w:color w:val="000000"/>
          <w:sz w:val="22"/>
          <w:szCs w:val="22"/>
        </w:rPr>
        <w:t>Maximum-likelihood tree of propionyl-</w:t>
      </w:r>
      <w:r w:rsidR="00E420EE">
        <w:rPr>
          <w:color w:val="000000"/>
          <w:sz w:val="22"/>
          <w:szCs w:val="22"/>
        </w:rPr>
        <w:t>C</w:t>
      </w:r>
      <w:r w:rsidRPr="005529F8">
        <w:rPr>
          <w:color w:val="000000"/>
          <w:sz w:val="22"/>
          <w:szCs w:val="22"/>
        </w:rPr>
        <w:t>o</w:t>
      </w:r>
      <w:r w:rsidR="00E420EE">
        <w:rPr>
          <w:color w:val="000000"/>
          <w:sz w:val="22"/>
          <w:szCs w:val="22"/>
        </w:rPr>
        <w:t>A</w:t>
      </w:r>
      <w:r w:rsidRPr="005529F8">
        <w:rPr>
          <w:color w:val="000000"/>
          <w:sz w:val="22"/>
          <w:szCs w:val="22"/>
        </w:rPr>
        <w:t xml:space="preserve"> carboxylase </w:t>
      </w:r>
      <w:r>
        <w:rPr>
          <w:color w:val="000000"/>
          <w:sz w:val="22"/>
          <w:szCs w:val="22"/>
        </w:rPr>
        <w:t>(PCC)</w:t>
      </w:r>
      <w:r w:rsidRPr="005529F8">
        <w:rPr>
          <w:color w:val="000000"/>
          <w:sz w:val="22"/>
          <w:szCs w:val="22"/>
        </w:rPr>
        <w:t xml:space="preserve">. Numbers beside branches represent support values from 1,000 bootstrap trees. The query sequences used to construct this tree were taken from </w:t>
      </w:r>
      <w:r w:rsidRPr="005529F8">
        <w:rPr>
          <w:i/>
          <w:iCs/>
          <w:color w:val="000000"/>
          <w:sz w:val="22"/>
          <w:szCs w:val="22"/>
        </w:rPr>
        <w:t>H. sapiens</w:t>
      </w:r>
      <w:r w:rsidRPr="005529F8">
        <w:rPr>
          <w:color w:val="000000"/>
          <w:sz w:val="22"/>
          <w:szCs w:val="22"/>
        </w:rPr>
        <w:t xml:space="preserve">. </w:t>
      </w:r>
      <w:r w:rsidRPr="0076520C">
        <w:rPr>
          <w:color w:val="000000"/>
          <w:sz w:val="22"/>
          <w:szCs w:val="22"/>
        </w:rPr>
        <w:t xml:space="preserve">Branches colored by taxonomy: </w:t>
      </w:r>
      <w:r w:rsidRPr="005529F8">
        <w:rPr>
          <w:color w:val="000000"/>
          <w:sz w:val="22"/>
          <w:szCs w:val="22"/>
        </w:rPr>
        <w:t xml:space="preserve">diatoms, orange; </w:t>
      </w:r>
      <w:r w:rsidRPr="0076520C">
        <w:rPr>
          <w:color w:val="000000"/>
          <w:sz w:val="22"/>
          <w:szCs w:val="22"/>
        </w:rPr>
        <w:t xml:space="preserve">rhodophytes, red; </w:t>
      </w:r>
      <w:proofErr w:type="spellStart"/>
      <w:r w:rsidRPr="0076520C">
        <w:rPr>
          <w:color w:val="000000"/>
          <w:sz w:val="22"/>
          <w:szCs w:val="22"/>
        </w:rPr>
        <w:t>viridiplantae</w:t>
      </w:r>
      <w:proofErr w:type="spellEnd"/>
      <w:r w:rsidRPr="0076520C">
        <w:rPr>
          <w:color w:val="000000"/>
          <w:sz w:val="22"/>
          <w:szCs w:val="22"/>
        </w:rPr>
        <w:t xml:space="preserve">, green; haptophytes, dark purple; </w:t>
      </w:r>
      <w:proofErr w:type="spellStart"/>
      <w:r w:rsidRPr="0076520C">
        <w:rPr>
          <w:color w:val="000000"/>
          <w:sz w:val="22"/>
          <w:szCs w:val="22"/>
        </w:rPr>
        <w:t>cryptophytes</w:t>
      </w:r>
      <w:proofErr w:type="spellEnd"/>
      <w:r w:rsidRPr="0076520C">
        <w:rPr>
          <w:color w:val="000000"/>
          <w:sz w:val="22"/>
          <w:szCs w:val="22"/>
        </w:rPr>
        <w:t xml:space="preserve">, light purple; non-diatom </w:t>
      </w:r>
      <w:proofErr w:type="spellStart"/>
      <w:r w:rsidRPr="0076520C">
        <w:rPr>
          <w:color w:val="000000"/>
          <w:sz w:val="22"/>
          <w:szCs w:val="22"/>
        </w:rPr>
        <w:t>stramenopiles</w:t>
      </w:r>
      <w:proofErr w:type="spellEnd"/>
      <w:r w:rsidRPr="0076520C">
        <w:rPr>
          <w:color w:val="000000"/>
          <w:sz w:val="22"/>
          <w:szCs w:val="22"/>
        </w:rPr>
        <w:t xml:space="preserve">, magenta; </w:t>
      </w:r>
      <w:r>
        <w:rPr>
          <w:color w:val="000000"/>
          <w:sz w:val="22"/>
          <w:szCs w:val="22"/>
        </w:rPr>
        <w:t xml:space="preserve">non-diatom </w:t>
      </w:r>
      <w:r w:rsidRPr="0076520C">
        <w:rPr>
          <w:color w:val="000000"/>
          <w:sz w:val="22"/>
          <w:szCs w:val="22"/>
        </w:rPr>
        <w:t xml:space="preserve">alveolates, blue; </w:t>
      </w:r>
      <w:proofErr w:type="spellStart"/>
      <w:r w:rsidRPr="0076520C">
        <w:rPr>
          <w:color w:val="000000"/>
          <w:sz w:val="22"/>
          <w:szCs w:val="22"/>
        </w:rPr>
        <w:t>opisthokonts</w:t>
      </w:r>
      <w:proofErr w:type="spellEnd"/>
      <w:r w:rsidRPr="0076520C">
        <w:rPr>
          <w:color w:val="000000"/>
          <w:sz w:val="22"/>
          <w:szCs w:val="22"/>
        </w:rPr>
        <w:t xml:space="preserve"> and </w:t>
      </w:r>
      <w:proofErr w:type="spellStart"/>
      <w:r w:rsidRPr="0076520C">
        <w:rPr>
          <w:color w:val="000000"/>
          <w:sz w:val="22"/>
          <w:szCs w:val="22"/>
        </w:rPr>
        <w:t>amoebozoa</w:t>
      </w:r>
      <w:proofErr w:type="spellEnd"/>
      <w:r w:rsidRPr="0076520C">
        <w:rPr>
          <w:color w:val="000000"/>
          <w:sz w:val="22"/>
          <w:szCs w:val="22"/>
        </w:rPr>
        <w:t>, maroon; excavates, pa</w:t>
      </w:r>
      <w:r>
        <w:rPr>
          <w:color w:val="000000"/>
          <w:sz w:val="22"/>
          <w:szCs w:val="22"/>
        </w:rPr>
        <w:t xml:space="preserve">le blue; </w:t>
      </w:r>
      <w:proofErr w:type="spellStart"/>
      <w:r>
        <w:rPr>
          <w:color w:val="000000"/>
          <w:sz w:val="22"/>
          <w:szCs w:val="22"/>
        </w:rPr>
        <w:t>rhizaria</w:t>
      </w:r>
      <w:proofErr w:type="spellEnd"/>
      <w:r>
        <w:rPr>
          <w:color w:val="000000"/>
          <w:sz w:val="22"/>
          <w:szCs w:val="22"/>
        </w:rPr>
        <w:t xml:space="preserve">, dark purple; </w:t>
      </w:r>
      <w:proofErr w:type="spellStart"/>
      <w:r w:rsidRPr="0076520C">
        <w:rPr>
          <w:color w:val="000000"/>
          <w:sz w:val="22"/>
          <w:szCs w:val="22"/>
        </w:rPr>
        <w:t>dinophyceae</w:t>
      </w:r>
      <w:proofErr w:type="spellEnd"/>
      <w:r w:rsidRPr="0076520C">
        <w:rPr>
          <w:color w:val="000000"/>
          <w:sz w:val="22"/>
          <w:szCs w:val="22"/>
        </w:rPr>
        <w:t xml:space="preserve">, dark blue; </w:t>
      </w:r>
      <w:proofErr w:type="spellStart"/>
      <w:r w:rsidRPr="0076520C">
        <w:rPr>
          <w:color w:val="000000"/>
          <w:sz w:val="22"/>
          <w:szCs w:val="22"/>
        </w:rPr>
        <w:t>glaucophyta</w:t>
      </w:r>
      <w:proofErr w:type="spellEnd"/>
      <w:r w:rsidRPr="0076520C">
        <w:rPr>
          <w:color w:val="000000"/>
          <w:sz w:val="22"/>
          <w:szCs w:val="22"/>
        </w:rPr>
        <w:t>, teal; bacteria</w:t>
      </w:r>
      <w:r>
        <w:rPr>
          <w:color w:val="000000"/>
          <w:sz w:val="22"/>
          <w:szCs w:val="22"/>
        </w:rPr>
        <w:t xml:space="preserve"> and archaea,</w:t>
      </w:r>
      <w:r w:rsidRPr="0076520C">
        <w:rPr>
          <w:color w:val="000000"/>
          <w:sz w:val="22"/>
          <w:szCs w:val="22"/>
        </w:rPr>
        <w:t xml:space="preserve"> yellow; virus</w:t>
      </w:r>
      <w:r>
        <w:rPr>
          <w:color w:val="000000"/>
          <w:sz w:val="22"/>
          <w:szCs w:val="22"/>
        </w:rPr>
        <w:t>,</w:t>
      </w:r>
      <w:r w:rsidRPr="0076520C">
        <w:rPr>
          <w:color w:val="000000"/>
          <w:sz w:val="22"/>
          <w:szCs w:val="22"/>
        </w:rPr>
        <w:t xml:space="preserve"> gray.  </w:t>
      </w:r>
      <w:r w:rsidR="0098672F">
        <w:rPr>
          <w:color w:val="000000"/>
          <w:sz w:val="22"/>
          <w:szCs w:val="22"/>
        </w:rPr>
        <w:t xml:space="preserve">The tree was rooted with </w:t>
      </w:r>
      <w:proofErr w:type="spellStart"/>
      <w:r w:rsidR="0098672F" w:rsidRPr="005529F8">
        <w:rPr>
          <w:color w:val="000000"/>
          <w:sz w:val="22"/>
          <w:szCs w:val="22"/>
        </w:rPr>
        <w:t>methylcrotonyl</w:t>
      </w:r>
      <w:proofErr w:type="spellEnd"/>
      <w:r w:rsidR="0098672F" w:rsidRPr="005529F8">
        <w:rPr>
          <w:color w:val="000000"/>
          <w:sz w:val="22"/>
          <w:szCs w:val="22"/>
        </w:rPr>
        <w:t>-</w:t>
      </w:r>
      <w:r w:rsidR="0098672F">
        <w:rPr>
          <w:color w:val="000000"/>
          <w:sz w:val="22"/>
          <w:szCs w:val="22"/>
        </w:rPr>
        <w:t>C</w:t>
      </w:r>
      <w:r w:rsidR="0098672F" w:rsidRPr="005529F8">
        <w:rPr>
          <w:color w:val="000000"/>
          <w:sz w:val="22"/>
          <w:szCs w:val="22"/>
        </w:rPr>
        <w:t>o</w:t>
      </w:r>
      <w:r w:rsidR="0098672F">
        <w:rPr>
          <w:color w:val="000000"/>
          <w:sz w:val="22"/>
          <w:szCs w:val="22"/>
        </w:rPr>
        <w:t>A</w:t>
      </w:r>
      <w:r w:rsidR="0098672F" w:rsidRPr="005529F8">
        <w:rPr>
          <w:color w:val="000000"/>
          <w:sz w:val="22"/>
          <w:szCs w:val="22"/>
        </w:rPr>
        <w:t xml:space="preserve"> carboxylase</w:t>
      </w:r>
      <w:r w:rsidR="008523EB">
        <w:rPr>
          <w:color w:val="000000"/>
          <w:sz w:val="22"/>
          <w:szCs w:val="22"/>
        </w:rPr>
        <w:t xml:space="preserve"> and based on 404 amino acids</w:t>
      </w:r>
      <w:r w:rsidR="00A175A6">
        <w:rPr>
          <w:color w:val="000000"/>
          <w:sz w:val="22"/>
          <w:szCs w:val="22"/>
        </w:rPr>
        <w:t>; scale bar represents the proportion of amino acid substitutions per site along each branch</w:t>
      </w:r>
      <w:r w:rsidR="0098672F">
        <w:rPr>
          <w:color w:val="000000"/>
          <w:sz w:val="22"/>
          <w:szCs w:val="22"/>
        </w:rPr>
        <w:t>.</w:t>
      </w:r>
    </w:p>
    <w:p w14:paraId="549A4970" w14:textId="77777777" w:rsidR="00396460" w:rsidRDefault="00396460" w:rsidP="00396460"/>
    <w:p w14:paraId="3E0042A7" w14:textId="77777777" w:rsidR="00396460" w:rsidRPr="005529F8" w:rsidRDefault="00396460" w:rsidP="00396460">
      <w:r w:rsidRPr="005529F8">
        <w:rPr>
          <w:b/>
          <w:bCs/>
          <w:color w:val="000000"/>
          <w:sz w:val="22"/>
          <w:szCs w:val="22"/>
        </w:rPr>
        <w:t>Supplementary Figure 3</w:t>
      </w:r>
    </w:p>
    <w:p w14:paraId="2B09C8E7" w14:textId="09389BA4" w:rsidR="00396460" w:rsidRDefault="00396460" w:rsidP="00396460">
      <w:r w:rsidRPr="005529F8">
        <w:rPr>
          <w:color w:val="000000"/>
          <w:sz w:val="22"/>
          <w:szCs w:val="22"/>
        </w:rPr>
        <w:t xml:space="preserve">Maximum-likelihood tree of carnitine </w:t>
      </w:r>
      <w:proofErr w:type="spellStart"/>
      <w:r w:rsidRPr="005529F8">
        <w:rPr>
          <w:color w:val="000000"/>
          <w:sz w:val="22"/>
          <w:szCs w:val="22"/>
        </w:rPr>
        <w:t>palmitoyltransferase</w:t>
      </w:r>
      <w:proofErr w:type="spellEnd"/>
      <w:r>
        <w:rPr>
          <w:color w:val="000000"/>
          <w:sz w:val="22"/>
          <w:szCs w:val="22"/>
        </w:rPr>
        <w:t xml:space="preserve"> (CPT2)</w:t>
      </w:r>
      <w:r w:rsidRPr="005529F8">
        <w:rPr>
          <w:color w:val="000000"/>
          <w:sz w:val="22"/>
          <w:szCs w:val="22"/>
        </w:rPr>
        <w:t xml:space="preserve">. The query sequences used to construct this tree were taken from </w:t>
      </w:r>
      <w:r w:rsidRPr="005529F8">
        <w:rPr>
          <w:i/>
          <w:iCs/>
          <w:color w:val="000000"/>
          <w:sz w:val="22"/>
          <w:szCs w:val="22"/>
        </w:rPr>
        <w:t>H. sapiens</w:t>
      </w:r>
      <w:r w:rsidRPr="005529F8">
        <w:rPr>
          <w:color w:val="000000"/>
          <w:sz w:val="22"/>
          <w:szCs w:val="22"/>
        </w:rPr>
        <w:t xml:space="preserve">. Numbers beside branches represent support values from 1,000 bootstrap trees. </w:t>
      </w:r>
      <w:r w:rsidRPr="0076520C">
        <w:rPr>
          <w:color w:val="000000"/>
          <w:sz w:val="22"/>
          <w:szCs w:val="22"/>
        </w:rPr>
        <w:t xml:space="preserve">Branches colored by taxonomy: </w:t>
      </w:r>
      <w:r w:rsidRPr="005529F8">
        <w:rPr>
          <w:color w:val="000000"/>
          <w:sz w:val="22"/>
          <w:szCs w:val="22"/>
        </w:rPr>
        <w:t xml:space="preserve">diatoms, orange; </w:t>
      </w:r>
      <w:r w:rsidRPr="0076520C">
        <w:rPr>
          <w:color w:val="000000"/>
          <w:sz w:val="22"/>
          <w:szCs w:val="22"/>
        </w:rPr>
        <w:t xml:space="preserve">rhodophytes, red; </w:t>
      </w:r>
      <w:proofErr w:type="spellStart"/>
      <w:r w:rsidRPr="0076520C">
        <w:rPr>
          <w:color w:val="000000"/>
          <w:sz w:val="22"/>
          <w:szCs w:val="22"/>
        </w:rPr>
        <w:t>viridiplantae</w:t>
      </w:r>
      <w:proofErr w:type="spellEnd"/>
      <w:r w:rsidRPr="0076520C">
        <w:rPr>
          <w:color w:val="000000"/>
          <w:sz w:val="22"/>
          <w:szCs w:val="22"/>
        </w:rPr>
        <w:t xml:space="preserve">, green; haptophytes, dark purple; </w:t>
      </w:r>
      <w:proofErr w:type="spellStart"/>
      <w:r w:rsidRPr="0076520C">
        <w:rPr>
          <w:color w:val="000000"/>
          <w:sz w:val="22"/>
          <w:szCs w:val="22"/>
        </w:rPr>
        <w:t>cryptophytes</w:t>
      </w:r>
      <w:proofErr w:type="spellEnd"/>
      <w:r w:rsidRPr="0076520C">
        <w:rPr>
          <w:color w:val="000000"/>
          <w:sz w:val="22"/>
          <w:szCs w:val="22"/>
        </w:rPr>
        <w:t xml:space="preserve">, light purple; non-diatom </w:t>
      </w:r>
      <w:proofErr w:type="spellStart"/>
      <w:r w:rsidRPr="0076520C">
        <w:rPr>
          <w:color w:val="000000"/>
          <w:sz w:val="22"/>
          <w:szCs w:val="22"/>
        </w:rPr>
        <w:t>stramenopiles</w:t>
      </w:r>
      <w:proofErr w:type="spellEnd"/>
      <w:r w:rsidRPr="0076520C">
        <w:rPr>
          <w:color w:val="000000"/>
          <w:sz w:val="22"/>
          <w:szCs w:val="22"/>
        </w:rPr>
        <w:t xml:space="preserve">, magenta; </w:t>
      </w:r>
      <w:r>
        <w:rPr>
          <w:color w:val="000000"/>
          <w:sz w:val="22"/>
          <w:szCs w:val="22"/>
        </w:rPr>
        <w:t xml:space="preserve">non-diatom </w:t>
      </w:r>
      <w:r w:rsidRPr="0076520C">
        <w:rPr>
          <w:color w:val="000000"/>
          <w:sz w:val="22"/>
          <w:szCs w:val="22"/>
        </w:rPr>
        <w:t xml:space="preserve">alveolates, blue; </w:t>
      </w:r>
      <w:proofErr w:type="spellStart"/>
      <w:r w:rsidRPr="0076520C">
        <w:rPr>
          <w:color w:val="000000"/>
          <w:sz w:val="22"/>
          <w:szCs w:val="22"/>
        </w:rPr>
        <w:t>opisthokonts</w:t>
      </w:r>
      <w:proofErr w:type="spellEnd"/>
      <w:r w:rsidRPr="0076520C">
        <w:rPr>
          <w:color w:val="000000"/>
          <w:sz w:val="22"/>
          <w:szCs w:val="22"/>
        </w:rPr>
        <w:t xml:space="preserve"> and </w:t>
      </w:r>
      <w:proofErr w:type="spellStart"/>
      <w:r w:rsidRPr="0076520C">
        <w:rPr>
          <w:color w:val="000000"/>
          <w:sz w:val="22"/>
          <w:szCs w:val="22"/>
        </w:rPr>
        <w:t>amoebozoa</w:t>
      </w:r>
      <w:proofErr w:type="spellEnd"/>
      <w:r w:rsidRPr="0076520C">
        <w:rPr>
          <w:color w:val="000000"/>
          <w:sz w:val="22"/>
          <w:szCs w:val="22"/>
        </w:rPr>
        <w:t>, maroon; excavates, pa</w:t>
      </w:r>
      <w:r>
        <w:rPr>
          <w:color w:val="000000"/>
          <w:sz w:val="22"/>
          <w:szCs w:val="22"/>
        </w:rPr>
        <w:t xml:space="preserve">le blue; </w:t>
      </w:r>
      <w:proofErr w:type="spellStart"/>
      <w:r>
        <w:rPr>
          <w:color w:val="000000"/>
          <w:sz w:val="22"/>
          <w:szCs w:val="22"/>
        </w:rPr>
        <w:t>rhizaria</w:t>
      </w:r>
      <w:proofErr w:type="spellEnd"/>
      <w:r>
        <w:rPr>
          <w:color w:val="000000"/>
          <w:sz w:val="22"/>
          <w:szCs w:val="22"/>
        </w:rPr>
        <w:t xml:space="preserve">, dark purple; </w:t>
      </w:r>
      <w:proofErr w:type="spellStart"/>
      <w:r w:rsidRPr="0076520C">
        <w:rPr>
          <w:color w:val="000000"/>
          <w:sz w:val="22"/>
          <w:szCs w:val="22"/>
        </w:rPr>
        <w:t>dinophyceae</w:t>
      </w:r>
      <w:proofErr w:type="spellEnd"/>
      <w:r w:rsidRPr="0076520C">
        <w:rPr>
          <w:color w:val="000000"/>
          <w:sz w:val="22"/>
          <w:szCs w:val="22"/>
        </w:rPr>
        <w:t xml:space="preserve">, dark blue; </w:t>
      </w:r>
      <w:proofErr w:type="spellStart"/>
      <w:r w:rsidRPr="0076520C">
        <w:rPr>
          <w:color w:val="000000"/>
          <w:sz w:val="22"/>
          <w:szCs w:val="22"/>
        </w:rPr>
        <w:t>glaucophyta</w:t>
      </w:r>
      <w:proofErr w:type="spellEnd"/>
      <w:r w:rsidRPr="0076520C">
        <w:rPr>
          <w:color w:val="000000"/>
          <w:sz w:val="22"/>
          <w:szCs w:val="22"/>
        </w:rPr>
        <w:t>, teal; bacteria</w:t>
      </w:r>
      <w:r>
        <w:rPr>
          <w:color w:val="000000"/>
          <w:sz w:val="22"/>
          <w:szCs w:val="22"/>
        </w:rPr>
        <w:t xml:space="preserve"> and archaea,</w:t>
      </w:r>
      <w:r w:rsidRPr="0076520C">
        <w:rPr>
          <w:color w:val="000000"/>
          <w:sz w:val="22"/>
          <w:szCs w:val="22"/>
        </w:rPr>
        <w:t xml:space="preserve"> yellow; virus</w:t>
      </w:r>
      <w:r>
        <w:rPr>
          <w:color w:val="000000"/>
          <w:sz w:val="22"/>
          <w:szCs w:val="22"/>
        </w:rPr>
        <w:t>,</w:t>
      </w:r>
      <w:r w:rsidRPr="0076520C">
        <w:rPr>
          <w:color w:val="000000"/>
          <w:sz w:val="22"/>
          <w:szCs w:val="22"/>
        </w:rPr>
        <w:t xml:space="preserve"> gray.  </w:t>
      </w:r>
      <w:r w:rsidR="0098672F">
        <w:rPr>
          <w:color w:val="000000"/>
          <w:sz w:val="22"/>
          <w:szCs w:val="22"/>
        </w:rPr>
        <w:t xml:space="preserve">The tree was rooted with </w:t>
      </w:r>
      <w:r w:rsidR="0098672F" w:rsidRPr="005529F8">
        <w:rPr>
          <w:color w:val="000000"/>
          <w:sz w:val="22"/>
          <w:szCs w:val="22"/>
        </w:rPr>
        <w:t>carnitine acetyltransferase and choline acetyltransferase</w:t>
      </w:r>
      <w:r w:rsidR="008523EB">
        <w:rPr>
          <w:color w:val="000000"/>
          <w:sz w:val="22"/>
          <w:szCs w:val="22"/>
        </w:rPr>
        <w:t xml:space="preserve"> and based on 438 amino acids</w:t>
      </w:r>
      <w:r w:rsidR="00A175A6">
        <w:rPr>
          <w:color w:val="000000"/>
          <w:sz w:val="22"/>
          <w:szCs w:val="22"/>
        </w:rPr>
        <w:t>; scale bar represents the proportion of amino acid substitutions per site along each branch</w:t>
      </w:r>
      <w:r w:rsidR="0098672F">
        <w:rPr>
          <w:color w:val="000000"/>
          <w:sz w:val="22"/>
          <w:szCs w:val="22"/>
        </w:rPr>
        <w:t>.</w:t>
      </w:r>
    </w:p>
    <w:p w14:paraId="375A5797" w14:textId="09872D75" w:rsidR="00CE2AAA" w:rsidRDefault="00CE2AAA">
      <w:pPr>
        <w:rPr>
          <w:sz w:val="22"/>
          <w:szCs w:val="22"/>
        </w:rPr>
      </w:pPr>
    </w:p>
    <w:sectPr w:rsidR="00CE2AAA" w:rsidSect="0053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8D"/>
    <w:rsid w:val="00054631"/>
    <w:rsid w:val="001319D7"/>
    <w:rsid w:val="00200D8D"/>
    <w:rsid w:val="002C65E3"/>
    <w:rsid w:val="00396460"/>
    <w:rsid w:val="00536F4B"/>
    <w:rsid w:val="00600B7F"/>
    <w:rsid w:val="0072168D"/>
    <w:rsid w:val="008523EB"/>
    <w:rsid w:val="00867BE8"/>
    <w:rsid w:val="008D1CDE"/>
    <w:rsid w:val="009222EF"/>
    <w:rsid w:val="00943D53"/>
    <w:rsid w:val="0098672F"/>
    <w:rsid w:val="00A175A6"/>
    <w:rsid w:val="00A87D7C"/>
    <w:rsid w:val="00C17AB9"/>
    <w:rsid w:val="00C4393A"/>
    <w:rsid w:val="00C615B1"/>
    <w:rsid w:val="00CE2AAA"/>
    <w:rsid w:val="00E420EE"/>
    <w:rsid w:val="00EF7353"/>
    <w:rsid w:val="00FD3922"/>
    <w:rsid w:val="00FD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22A4B"/>
  <w14:defaultImageDpi w14:val="32767"/>
  <w15:chartTrackingRefBased/>
  <w15:docId w15:val="{2AA88B02-6759-6B49-A574-DA81BA1B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B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C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80539">
      <w:bodyDiv w:val="1"/>
      <w:marLeft w:val="0"/>
      <w:marRight w:val="0"/>
      <w:marTop w:val="0"/>
      <w:marBottom w:val="0"/>
      <w:divBdr>
        <w:top w:val="none" w:sz="0" w:space="0" w:color="auto"/>
        <w:left w:val="none" w:sz="0" w:space="0" w:color="auto"/>
        <w:bottom w:val="none" w:sz="0" w:space="0" w:color="auto"/>
        <w:right w:val="none" w:sz="0" w:space="0" w:color="auto"/>
      </w:divBdr>
    </w:div>
    <w:div w:id="239221256">
      <w:bodyDiv w:val="1"/>
      <w:marLeft w:val="0"/>
      <w:marRight w:val="0"/>
      <w:marTop w:val="0"/>
      <w:marBottom w:val="0"/>
      <w:divBdr>
        <w:top w:val="none" w:sz="0" w:space="0" w:color="auto"/>
        <w:left w:val="none" w:sz="0" w:space="0" w:color="auto"/>
        <w:bottom w:val="none" w:sz="0" w:space="0" w:color="auto"/>
        <w:right w:val="none" w:sz="0" w:space="0" w:color="auto"/>
      </w:divBdr>
    </w:div>
    <w:div w:id="529491633">
      <w:bodyDiv w:val="1"/>
      <w:marLeft w:val="0"/>
      <w:marRight w:val="0"/>
      <w:marTop w:val="0"/>
      <w:marBottom w:val="0"/>
      <w:divBdr>
        <w:top w:val="none" w:sz="0" w:space="0" w:color="auto"/>
        <w:left w:val="none" w:sz="0" w:space="0" w:color="auto"/>
        <w:bottom w:val="none" w:sz="0" w:space="0" w:color="auto"/>
        <w:right w:val="none" w:sz="0" w:space="0" w:color="auto"/>
      </w:divBdr>
    </w:div>
    <w:div w:id="668362896">
      <w:bodyDiv w:val="1"/>
      <w:marLeft w:val="0"/>
      <w:marRight w:val="0"/>
      <w:marTop w:val="0"/>
      <w:marBottom w:val="0"/>
      <w:divBdr>
        <w:top w:val="none" w:sz="0" w:space="0" w:color="auto"/>
        <w:left w:val="none" w:sz="0" w:space="0" w:color="auto"/>
        <w:bottom w:val="none" w:sz="0" w:space="0" w:color="auto"/>
        <w:right w:val="none" w:sz="0" w:space="0" w:color="auto"/>
      </w:divBdr>
    </w:div>
    <w:div w:id="700252712">
      <w:bodyDiv w:val="1"/>
      <w:marLeft w:val="0"/>
      <w:marRight w:val="0"/>
      <w:marTop w:val="0"/>
      <w:marBottom w:val="0"/>
      <w:divBdr>
        <w:top w:val="none" w:sz="0" w:space="0" w:color="auto"/>
        <w:left w:val="none" w:sz="0" w:space="0" w:color="auto"/>
        <w:bottom w:val="none" w:sz="0" w:space="0" w:color="auto"/>
        <w:right w:val="none" w:sz="0" w:space="0" w:color="auto"/>
      </w:divBdr>
    </w:div>
    <w:div w:id="1011758886">
      <w:bodyDiv w:val="1"/>
      <w:marLeft w:val="0"/>
      <w:marRight w:val="0"/>
      <w:marTop w:val="0"/>
      <w:marBottom w:val="0"/>
      <w:divBdr>
        <w:top w:val="none" w:sz="0" w:space="0" w:color="auto"/>
        <w:left w:val="none" w:sz="0" w:space="0" w:color="auto"/>
        <w:bottom w:val="none" w:sz="0" w:space="0" w:color="auto"/>
        <w:right w:val="none" w:sz="0" w:space="0" w:color="auto"/>
      </w:divBdr>
    </w:div>
    <w:div w:id="1014529949">
      <w:bodyDiv w:val="1"/>
      <w:marLeft w:val="0"/>
      <w:marRight w:val="0"/>
      <w:marTop w:val="0"/>
      <w:marBottom w:val="0"/>
      <w:divBdr>
        <w:top w:val="none" w:sz="0" w:space="0" w:color="auto"/>
        <w:left w:val="none" w:sz="0" w:space="0" w:color="auto"/>
        <w:bottom w:val="none" w:sz="0" w:space="0" w:color="auto"/>
        <w:right w:val="none" w:sz="0" w:space="0" w:color="auto"/>
      </w:divBdr>
    </w:div>
    <w:div w:id="1514807379">
      <w:bodyDiv w:val="1"/>
      <w:marLeft w:val="0"/>
      <w:marRight w:val="0"/>
      <w:marTop w:val="0"/>
      <w:marBottom w:val="0"/>
      <w:divBdr>
        <w:top w:val="none" w:sz="0" w:space="0" w:color="auto"/>
        <w:left w:val="none" w:sz="0" w:space="0" w:color="auto"/>
        <w:bottom w:val="none" w:sz="0" w:space="0" w:color="auto"/>
        <w:right w:val="none" w:sz="0" w:space="0" w:color="auto"/>
      </w:divBdr>
    </w:div>
    <w:div w:id="1836073397">
      <w:bodyDiv w:val="1"/>
      <w:marLeft w:val="0"/>
      <w:marRight w:val="0"/>
      <w:marTop w:val="0"/>
      <w:marBottom w:val="0"/>
      <w:divBdr>
        <w:top w:val="none" w:sz="0" w:space="0" w:color="auto"/>
        <w:left w:val="none" w:sz="0" w:space="0" w:color="auto"/>
        <w:bottom w:val="none" w:sz="0" w:space="0" w:color="auto"/>
        <w:right w:val="none" w:sz="0" w:space="0" w:color="auto"/>
      </w:divBdr>
    </w:div>
    <w:div w:id="1935816703">
      <w:bodyDiv w:val="1"/>
      <w:marLeft w:val="0"/>
      <w:marRight w:val="0"/>
      <w:marTop w:val="0"/>
      <w:marBottom w:val="0"/>
      <w:divBdr>
        <w:top w:val="none" w:sz="0" w:space="0" w:color="auto"/>
        <w:left w:val="none" w:sz="0" w:space="0" w:color="auto"/>
        <w:bottom w:val="none" w:sz="0" w:space="0" w:color="auto"/>
        <w:right w:val="none" w:sz="0" w:space="0" w:color="auto"/>
      </w:divBdr>
    </w:div>
    <w:div w:id="1952932152">
      <w:bodyDiv w:val="1"/>
      <w:marLeft w:val="0"/>
      <w:marRight w:val="0"/>
      <w:marTop w:val="0"/>
      <w:marBottom w:val="0"/>
      <w:divBdr>
        <w:top w:val="none" w:sz="0" w:space="0" w:color="auto"/>
        <w:left w:val="none" w:sz="0" w:space="0" w:color="auto"/>
        <w:bottom w:val="none" w:sz="0" w:space="0" w:color="auto"/>
        <w:right w:val="none" w:sz="0" w:space="0" w:color="auto"/>
      </w:divBdr>
    </w:div>
    <w:div w:id="2013214259">
      <w:bodyDiv w:val="1"/>
      <w:marLeft w:val="0"/>
      <w:marRight w:val="0"/>
      <w:marTop w:val="0"/>
      <w:marBottom w:val="0"/>
      <w:divBdr>
        <w:top w:val="none" w:sz="0" w:space="0" w:color="auto"/>
        <w:left w:val="none" w:sz="0" w:space="0" w:color="auto"/>
        <w:bottom w:val="none" w:sz="0" w:space="0" w:color="auto"/>
        <w:right w:val="none" w:sz="0" w:space="0" w:color="auto"/>
      </w:divBdr>
    </w:div>
    <w:div w:id="21272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38</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